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96F41A">
      <w:pPr>
        <w:numPr>
          <w:ilvl w:val="0"/>
          <w:numId w:val="0"/>
        </w:numPr>
        <w:tabs>
          <w:tab w:val="left" w:pos="7161"/>
        </w:tabs>
        <w:ind w:leftChars="0"/>
        <w:jc w:val="center"/>
        <w:rPr>
          <w:rFonts w:hint="eastAsia" w:ascii="宋体" w:hAnsi="宋体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867535" cy="3491230"/>
            <wp:effectExtent l="0" t="0" r="0" b="0"/>
            <wp:docPr id="5" name="图片 5" descr="LAS系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AS系列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67535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14946">
      <w:pPr>
        <w:numPr>
          <w:ilvl w:val="0"/>
          <w:numId w:val="0"/>
        </w:numPr>
        <w:tabs>
          <w:tab w:val="left" w:pos="7161"/>
        </w:tabs>
        <w:ind w:leftChars="0"/>
        <w:jc w:val="both"/>
        <w:rPr>
          <w:rFonts w:hint="eastAsia" w:ascii="宋体" w:hAnsi="宋体" w:eastAsia="宋体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1424305</wp:posOffset>
                </wp:positionH>
                <wp:positionV relativeFrom="paragraph">
                  <wp:posOffset>19050</wp:posOffset>
                </wp:positionV>
                <wp:extent cx="2328545" cy="1828800"/>
                <wp:effectExtent l="0" t="0" r="0" b="0"/>
                <wp:wrapTopAndBottom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854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FD144"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7161"/>
                              </w:tabs>
                              <w:ind w:leftChars="0"/>
                              <w:jc w:val="both"/>
                              <w:rPr>
                                <w:rFonts w:hint="eastAsia" w:ascii="宋体" w:hAnsi="宋体" w:eastAsia="宋体" w:cs="Times New Roman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 w:cs="Times New Roman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HR-1LAS实验室真空乳化反应釜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15pt;margin-top:1.5pt;height:144pt;width:183.35pt;mso-wrap-distance-bottom:0pt;mso-wrap-distance-top:0pt;z-index:251661312;mso-width-relative:page;mso-height-relative:page;" filled="f" stroked="f" coordsize="21600,21600" o:gfxdata="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NfnZbNMAAAAJAQAADwAAAAAAAAABACAAAAAiAAAAZHJzL2Rv&#10;d25yZXYueG1sUEsBAhQAFAAAAAgAh07iQCA8jis/AgAAZwQAAA4AAAAAAAAAAQAgAAAAIg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45BFD144"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7161"/>
                        </w:tabs>
                        <w:ind w:leftChars="0"/>
                        <w:jc w:val="both"/>
                        <w:rPr>
                          <w:rFonts w:hint="eastAsia" w:ascii="宋体" w:hAnsi="宋体" w:eastAsia="宋体" w:cs="Times New Roman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 w:cs="Times New Roman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HR-1LAS实验室真空乳化反应釜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hint="eastAsia" w:ascii="宋体" w:hAnsi="宋体" w:eastAsia="宋体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838200</wp:posOffset>
                </wp:positionV>
                <wp:extent cx="5272405" cy="381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240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.95pt;margin-top:66pt;height:0.3pt;width:415.15pt;z-index:-251656192;mso-width-relative:page;mso-height-relative:page;" filled="f" stroked="t" coordsize="21600,21600" o:gfxdata="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F3TY2/XAAAACgEAAA8AAAAAAAAAAQAgAAAAIgAAAGRycy9kb3ducmV2LnhtbFBLAQIUABQAAAAI&#10;AIdO4kBptR0R7gEAALUDAAAOAAAAAAAAAAEAIAAAACYBAABkcnMvZTJvRG9jLnhtbFBLBQYAAAAA&#10;BgAGAFkBAACGBQAAAAA=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283845</wp:posOffset>
                </wp:positionV>
                <wp:extent cx="1792605" cy="62357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2605" cy="623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B28876">
                            <w:pPr>
                              <w:rPr>
                                <w:rFonts w:hint="eastAsia" w:eastAsia="宋体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6.25pt;margin-top:22.35pt;height:49.1pt;width:141.15pt;z-index:-251657216;mso-width-relative:page;mso-height-relative:page;" filled="f" stroked="f" coordsize="21600,21600" o:gfxdata="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ZzBocNsAAAAKAQAADwAAAAAAAAABACAAAAAiAAAAZHJz&#10;L2Rvd25yZXYueG1sUEsBAhQAFAAAAAgAh07iQCLqnjE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FB28876">
                      <w:pPr>
                        <w:rPr>
                          <w:rFonts w:hint="eastAsia" w:eastAsia="宋体"/>
                          <w:b/>
                          <w:bCs/>
                          <w:color w:val="4472C4" w:themeColor="accent1"/>
                          <w:sz w:val="72"/>
                          <w:szCs w:val="72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1、</w:t>
      </w:r>
      <w:r>
        <w:rPr>
          <w:rFonts w:hint="eastAsia" w:ascii="宋体" w:hAnsi="宋体" w:eastAsia="宋体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产品</w:t>
      </w:r>
      <w:r>
        <w:rPr>
          <w:rFonts w:hint="eastAsia" w:cs="Times New Roman"/>
          <w:b/>
          <w:color w:val="2F5597" w:themeColor="accent1" w:themeShade="BF"/>
          <w:sz w:val="24"/>
          <w:szCs w:val="24"/>
          <w:lang w:val="en-US" w:eastAsia="zh-CN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应用</w:t>
      </w:r>
    </w:p>
    <w:p w14:paraId="52D2A396">
      <w:pPr>
        <w:widowControl/>
        <w:shd w:val="clear" w:color="auto" w:fill="FFFFFF"/>
        <w:spacing w:line="360" w:lineRule="auto"/>
        <w:ind w:firstLine="480" w:firstLineChars="200"/>
        <w:jc w:val="left"/>
        <w:textAlignment w:val="center"/>
        <w:rPr>
          <w:rFonts w:hint="eastAsia"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HR-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1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L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AS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实验室真空乳化反应釜：在真空或压力环境下，实现物料的分散、乳化、均质、混合等工艺过程。可配备多种高效宏观高粘度搅拌器、高剪切均质乳化机以及可靠的真空密封系统和温控系统，多种传感检测系统能在实验室环境模拟工业化生产。目前实验室处理量有：1L、2L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eastAsia="zh-CN"/>
        </w:rPr>
        <w:t>、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5L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等系列。</w:t>
      </w:r>
    </w:p>
    <w:p w14:paraId="60FBFD0E">
      <w:pPr>
        <w:widowControl/>
        <w:shd w:val="clear" w:color="auto" w:fill="FFFFFF"/>
        <w:spacing w:line="360" w:lineRule="auto"/>
        <w:ind w:firstLine="480" w:firstLineChars="200"/>
        <w:jc w:val="left"/>
        <w:textAlignment w:val="center"/>
        <w:rPr>
          <w:rFonts w:hint="default" w:ascii="宋体" w:hAnsi="宋体" w:eastAsia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主要应用于：</w:t>
      </w:r>
    </w:p>
    <w:p w14:paraId="246E3ACA">
      <w:pPr>
        <w:widowControl/>
        <w:numPr>
          <w:ilvl w:val="0"/>
          <w:numId w:val="1"/>
        </w:numPr>
        <w:shd w:val="clear" w:color="auto" w:fill="FFFFFF"/>
        <w:spacing w:line="360" w:lineRule="auto"/>
        <w:ind w:left="840" w:leftChars="0" w:hanging="420" w:firstLineChars="0"/>
        <w:jc w:val="left"/>
        <w:textAlignment w:val="center"/>
        <w:rPr>
          <w:rFonts w:hint="eastAsia"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生产奶油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eastAsia="zh-CN"/>
        </w:rPr>
        <w:t>、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乳液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eastAsia="zh-CN"/>
        </w:rPr>
        <w:t>、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乳化品</w:t>
      </w:r>
    </w:p>
    <w:p w14:paraId="6607AC40">
      <w:pPr>
        <w:widowControl/>
        <w:numPr>
          <w:ilvl w:val="0"/>
          <w:numId w:val="1"/>
        </w:numPr>
        <w:shd w:val="clear" w:color="auto" w:fill="FFFFFF"/>
        <w:spacing w:line="360" w:lineRule="auto"/>
        <w:ind w:left="840" w:leftChars="0" w:hanging="420" w:firstLineChars="0"/>
        <w:jc w:val="left"/>
        <w:textAlignment w:val="center"/>
        <w:rPr>
          <w:rFonts w:hint="eastAsia"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药品及化妆品</w:t>
      </w:r>
    </w:p>
    <w:p w14:paraId="7626DB76">
      <w:pPr>
        <w:widowControl/>
        <w:numPr>
          <w:ilvl w:val="0"/>
          <w:numId w:val="1"/>
        </w:numPr>
        <w:shd w:val="clear" w:color="auto" w:fill="FFFFFF"/>
        <w:spacing w:line="360" w:lineRule="auto"/>
        <w:ind w:left="840" w:leftChars="0" w:hanging="420" w:firstLineChars="0"/>
        <w:jc w:val="left"/>
        <w:textAlignment w:val="center"/>
        <w:rPr>
          <w:rFonts w:hint="eastAsia"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将细小的固体分散成液体或溶解状</w:t>
      </w:r>
    </w:p>
    <w:p w14:paraId="6AC39B8C">
      <w:pPr>
        <w:widowControl/>
        <w:numPr>
          <w:ilvl w:val="0"/>
          <w:numId w:val="1"/>
        </w:numPr>
        <w:shd w:val="clear" w:color="auto" w:fill="FFFFFF"/>
        <w:spacing w:line="360" w:lineRule="auto"/>
        <w:ind w:left="840" w:leftChars="0" w:hanging="420" w:firstLineChars="0"/>
        <w:jc w:val="left"/>
        <w:textAlignment w:val="center"/>
        <w:rPr>
          <w:rFonts w:hint="eastAsia"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将添加剂和固体聚合物悬浮在矿物油中</w:t>
      </w:r>
    </w:p>
    <w:p w14:paraId="493CBC55">
      <w:pPr>
        <w:widowControl/>
        <w:numPr>
          <w:ilvl w:val="0"/>
          <w:numId w:val="1"/>
        </w:numPr>
        <w:shd w:val="clear" w:color="auto" w:fill="FFFFFF"/>
        <w:spacing w:line="360" w:lineRule="auto"/>
        <w:ind w:left="840" w:leftChars="0" w:hanging="420" w:firstLineChars="0"/>
        <w:jc w:val="left"/>
        <w:textAlignment w:val="center"/>
        <w:rPr>
          <w:rFonts w:hint="eastAsia"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在流体和聚合物中湿磨，分散固体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eastAsia="zh-CN"/>
        </w:rPr>
        <w:t>、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纤维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eastAsia="zh-CN"/>
        </w:rPr>
        <w:t>、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高粘度物质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eastAsia="zh-CN"/>
        </w:rPr>
        <w:t>、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细胞组织等</w:t>
      </w:r>
    </w:p>
    <w:p w14:paraId="74FAF5CF">
      <w:pPr>
        <w:widowControl/>
        <w:numPr>
          <w:ilvl w:val="0"/>
          <w:numId w:val="1"/>
        </w:numPr>
        <w:shd w:val="clear" w:color="auto" w:fill="FFFFFF"/>
        <w:spacing w:line="360" w:lineRule="auto"/>
        <w:ind w:left="840" w:leftChars="0" w:hanging="420" w:firstLineChars="0"/>
        <w:jc w:val="left"/>
        <w:textAlignment w:val="center"/>
        <w:rPr>
          <w:rFonts w:hint="eastAsia"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处理日常用品及饮食品</w:t>
      </w:r>
    </w:p>
    <w:p w14:paraId="4A9666B2">
      <w:pPr>
        <w:widowControl/>
        <w:numPr>
          <w:ilvl w:val="0"/>
          <w:numId w:val="1"/>
        </w:numPr>
        <w:shd w:val="clear" w:color="auto" w:fill="FFFFFF"/>
        <w:spacing w:line="360" w:lineRule="auto"/>
        <w:ind w:left="840" w:leftChars="0" w:hanging="420" w:firstLineChars="0"/>
        <w:jc w:val="left"/>
        <w:textAlignment w:val="center"/>
        <w:rPr>
          <w:rFonts w:hint="eastAsia"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聚合作用</w:t>
      </w:r>
    </w:p>
    <w:p w14:paraId="50166B89">
      <w:pPr>
        <w:widowControl/>
        <w:numPr>
          <w:ilvl w:val="0"/>
          <w:numId w:val="1"/>
        </w:numPr>
        <w:shd w:val="clear" w:color="auto" w:fill="FFFFFF"/>
        <w:spacing w:line="360" w:lineRule="auto"/>
        <w:ind w:left="840" w:leftChars="0" w:hanging="420" w:firstLineChars="0"/>
        <w:jc w:val="left"/>
        <w:textAlignment w:val="center"/>
        <w:rPr>
          <w:rFonts w:hint="eastAsia"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在生物体内提取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E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nzymes</w:t>
      </w:r>
    </w:p>
    <w:p w14:paraId="0FDC33E7">
      <w:pPr>
        <w:widowControl/>
        <w:numPr>
          <w:ilvl w:val="0"/>
          <w:numId w:val="1"/>
        </w:numPr>
        <w:shd w:val="clear" w:color="auto" w:fill="FFFFFF"/>
        <w:spacing w:line="360" w:lineRule="auto"/>
        <w:ind w:left="840" w:leftChars="0" w:hanging="420" w:firstLineChars="0"/>
        <w:jc w:val="left"/>
        <w:textAlignment w:val="center"/>
        <w:rPr>
          <w:rFonts w:hint="eastAsia"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其他应用</w:t>
      </w:r>
    </w:p>
    <w:p w14:paraId="066BBF79">
      <w:pPr>
        <w:widowControl/>
        <w:shd w:val="clear" w:color="auto" w:fill="FFFFFF"/>
        <w:spacing w:line="360" w:lineRule="auto"/>
        <w:ind w:firstLine="480" w:firstLineChars="200"/>
        <w:jc w:val="left"/>
        <w:textAlignment w:val="center"/>
        <w:rPr>
          <w:rFonts w:hint="eastAsia" w:ascii="宋体" w:hAnsi="宋体" w:cs="宋体"/>
          <w:color w:val="2F5597" w:themeColor="accent1" w:themeShade="BF"/>
          <w:sz w:val="24"/>
          <w:szCs w:val="24"/>
        </w:rPr>
      </w:pPr>
    </w:p>
    <w:p w14:paraId="28E964D5">
      <w:pPr>
        <w:adjustRightInd w:val="0"/>
        <w:spacing w:line="360" w:lineRule="auto"/>
        <w:rPr>
          <w:rFonts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375285</wp:posOffset>
                </wp:positionV>
                <wp:extent cx="5291455" cy="381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145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.6pt;margin-top:29.55pt;height:0.3pt;width:416.65pt;z-index:-251654144;mso-width-relative:page;mso-height-relative:page;" filled="f" stroked="t" coordsize="21600,21600" o:gfxdata="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ZUqJK1gAAAAgBAAAPAAAAAAAAAAEAIAAAACIAAABkcnMvZG93bnJldi54bWxQSwEC&#10;FAAUAAAACACHTuJAkBXpMvYBAAC/AwAADgAAAAAAAAABACAAAAAlAQAAZHJzL2Uyb0RvYy54bWxQ&#10;SwUGAAAAAAYABgBZAQAAjQ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2、产品特点</w:t>
      </w:r>
    </w:p>
    <w:p w14:paraId="044670A4">
      <w:pPr>
        <w:widowControl/>
        <w:numPr>
          <w:ilvl w:val="0"/>
          <w:numId w:val="2"/>
        </w:numPr>
        <w:shd w:val="clear" w:color="auto" w:fill="FFFFFF"/>
        <w:spacing w:line="360" w:lineRule="auto"/>
        <w:ind w:left="420" w:leftChars="0" w:hanging="420" w:firstLineChars="0"/>
        <w:jc w:val="left"/>
        <w:rPr>
          <w:rFonts w:hint="default" w:ascii="宋体" w:hAnsi="宋体" w:cs="宋体"/>
          <w:color w:val="2F5597" w:themeColor="accent1" w:themeShade="BF"/>
          <w:sz w:val="24"/>
          <w:szCs w:val="24"/>
          <w:lang w:val="en-US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均质机、搅拌机都采用无刷电机，提供无碳刷工作场景，防止碳粉污染样品；</w:t>
      </w:r>
    </w:p>
    <w:p w14:paraId="0EF8F2D7">
      <w:pPr>
        <w:widowControl/>
        <w:numPr>
          <w:ilvl w:val="0"/>
          <w:numId w:val="2"/>
        </w:numPr>
        <w:shd w:val="clear" w:color="auto" w:fill="FFFFFF"/>
        <w:spacing w:line="360" w:lineRule="auto"/>
        <w:ind w:left="420" w:leftChars="0" w:hanging="420" w:firstLineChars="0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人性化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设计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：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 xml:space="preserve"> </w:t>
      </w:r>
    </w:p>
    <w:p w14:paraId="015EE3E8">
      <w:pPr>
        <w:widowControl/>
        <w:numPr>
          <w:ilvl w:val="0"/>
          <w:numId w:val="3"/>
        </w:numPr>
        <w:shd w:val="clear" w:color="auto" w:fill="FFFFFF"/>
        <w:spacing w:line="360" w:lineRule="auto"/>
        <w:ind w:left="0" w:leftChars="0" w:firstLine="480" w:firstLineChars="200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一键选择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电动升降釜盖升降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；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另电动升降设有防夹功能；</w:t>
      </w:r>
    </w:p>
    <w:p w14:paraId="27820AFE">
      <w:pPr>
        <w:widowControl/>
        <w:numPr>
          <w:ilvl w:val="0"/>
          <w:numId w:val="3"/>
        </w:numPr>
        <w:shd w:val="clear" w:color="auto" w:fill="FFFFFF"/>
        <w:spacing w:line="360" w:lineRule="auto"/>
        <w:ind w:left="0" w:leftChars="0" w:firstLine="480" w:firstLineChars="200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釜盖支持有2根弹簧，下降有缓冲功能，防止磕坏釜体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；</w:t>
      </w:r>
    </w:p>
    <w:p w14:paraId="0EF3877B">
      <w:pPr>
        <w:widowControl/>
        <w:numPr>
          <w:ilvl w:val="0"/>
          <w:numId w:val="3"/>
        </w:numPr>
        <w:shd w:val="clear" w:color="auto" w:fill="FFFFFF"/>
        <w:spacing w:line="360" w:lineRule="auto"/>
        <w:ind w:left="0" w:leftChars="0" w:firstLine="480" w:firstLineChars="200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釜体可以翻转，方便倾倒物料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；</w:t>
      </w:r>
    </w:p>
    <w:p w14:paraId="2A1A8AB9">
      <w:pPr>
        <w:widowControl/>
        <w:numPr>
          <w:ilvl w:val="0"/>
          <w:numId w:val="3"/>
        </w:numPr>
        <w:shd w:val="clear" w:color="auto" w:fill="FFFFFF"/>
        <w:spacing w:line="360" w:lineRule="auto"/>
        <w:ind w:left="0" w:leftChars="0" w:firstLine="480" w:firstLineChars="200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釜体带有周转冷热水管接口，方便倾倒样品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；</w:t>
      </w:r>
    </w:p>
    <w:p w14:paraId="715E7035">
      <w:pPr>
        <w:widowControl/>
        <w:numPr>
          <w:ilvl w:val="0"/>
          <w:numId w:val="3"/>
        </w:numPr>
        <w:shd w:val="clear" w:color="auto" w:fill="FFFFFF"/>
        <w:spacing w:line="360" w:lineRule="auto"/>
        <w:ind w:left="0" w:leftChars="0" w:firstLine="480" w:firstLineChars="200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釜盖带有螺丝固定槽，方便固定釜盖；</w:t>
      </w:r>
    </w:p>
    <w:p w14:paraId="200CB990">
      <w:pPr>
        <w:widowControl/>
        <w:numPr>
          <w:ilvl w:val="0"/>
          <w:numId w:val="3"/>
        </w:numPr>
        <w:shd w:val="clear" w:color="auto" w:fill="FFFFFF"/>
        <w:spacing w:line="360" w:lineRule="auto"/>
        <w:ind w:left="0" w:leftChars="0" w:firstLine="480" w:firstLineChars="200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釜盖螺丝带防碰撞装置，防止磕碰釜体；</w:t>
      </w:r>
    </w:p>
    <w:p w14:paraId="4F9FF66C">
      <w:pPr>
        <w:widowControl/>
        <w:numPr>
          <w:ilvl w:val="0"/>
          <w:numId w:val="3"/>
        </w:numPr>
        <w:shd w:val="clear" w:color="auto" w:fill="FFFFFF"/>
        <w:spacing w:line="360" w:lineRule="auto"/>
        <w:ind w:left="0" w:leftChars="0" w:firstLine="480" w:firstLineChars="200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均质刀头带安全防护扣，防止磕碰釜体；</w:t>
      </w:r>
    </w:p>
    <w:p w14:paraId="52256C18">
      <w:pPr>
        <w:widowControl/>
        <w:numPr>
          <w:ilvl w:val="0"/>
          <w:numId w:val="3"/>
        </w:numPr>
        <w:shd w:val="clear" w:color="auto" w:fill="FFFFFF"/>
        <w:spacing w:line="360" w:lineRule="auto"/>
        <w:ind w:left="0" w:leftChars="0" w:firstLine="480" w:firstLineChars="200"/>
        <w:jc w:val="left"/>
        <w:rPr>
          <w:rFonts w:hint="default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可以根据搅拌样品粘度、容量，选择不同型号搅拌机。</w:t>
      </w:r>
    </w:p>
    <w:p w14:paraId="5800279D">
      <w:pPr>
        <w:widowControl/>
        <w:numPr>
          <w:ilvl w:val="0"/>
          <w:numId w:val="2"/>
        </w:numPr>
        <w:shd w:val="clear" w:color="auto" w:fill="FFFFFF"/>
        <w:spacing w:line="360" w:lineRule="auto"/>
        <w:ind w:left="420" w:leftChars="0" w:hanging="420" w:firstLineChars="0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底板和立杆支架为304不锈钢，便于清洗；</w:t>
      </w:r>
    </w:p>
    <w:p w14:paraId="5EFB4331">
      <w:pPr>
        <w:widowControl/>
        <w:numPr>
          <w:ilvl w:val="0"/>
          <w:numId w:val="2"/>
        </w:numPr>
        <w:shd w:val="clear" w:color="auto" w:fill="FFFFFF"/>
        <w:spacing w:line="360" w:lineRule="auto"/>
        <w:ind w:left="420" w:leftChars="0" w:hanging="420" w:firstLineChars="0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可以外接HUXI在线乳化设备，进行多机乳化，从而提高效率和乳化效果；</w:t>
      </w:r>
    </w:p>
    <w:p w14:paraId="52856E1A">
      <w:pPr>
        <w:widowControl/>
        <w:numPr>
          <w:ilvl w:val="0"/>
          <w:numId w:val="2"/>
        </w:numPr>
        <w:shd w:val="clear" w:color="auto" w:fill="FFFFFF"/>
        <w:spacing w:line="360" w:lineRule="auto"/>
        <w:ind w:left="420" w:leftChars="0" w:hanging="420" w:firstLineChars="0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搅拌棒与釜体采用锚爪连接，大大改善搅拌抖动和噪音；</w:t>
      </w:r>
    </w:p>
    <w:p w14:paraId="0589F940">
      <w:pPr>
        <w:widowControl/>
        <w:numPr>
          <w:ilvl w:val="0"/>
          <w:numId w:val="2"/>
        </w:numPr>
        <w:shd w:val="clear" w:color="auto" w:fill="FFFFFF"/>
        <w:spacing w:line="360" w:lineRule="auto"/>
        <w:ind w:left="420" w:leftChars="0" w:hanging="420" w:firstLineChars="0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特制锚式四氟刮壁搅拌桨，防止样品粘壁结块；</w:t>
      </w:r>
    </w:p>
    <w:p w14:paraId="055EED29">
      <w:pPr>
        <w:widowControl/>
        <w:numPr>
          <w:ilvl w:val="0"/>
          <w:numId w:val="2"/>
        </w:numPr>
        <w:shd w:val="clear" w:color="auto" w:fill="FFFFFF"/>
        <w:spacing w:line="360" w:lineRule="auto"/>
        <w:ind w:left="420" w:leftChars="0" w:hanging="420" w:firstLineChars="0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可外接冷却水循环制冷，控制样品温度。</w:t>
      </w:r>
    </w:p>
    <w:p w14:paraId="619E1DAA"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</w:p>
    <w:p w14:paraId="338B7C18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0" w:right="0" w:rightChars="0"/>
        <w:jc w:val="left"/>
        <w:textAlignment w:val="auto"/>
        <w:outlineLvl w:val="9"/>
        <w:rPr>
          <w:rFonts w:hint="eastAsia" w:ascii="宋体" w:hAnsi="宋体" w:eastAsia="宋体" w:cs="Times New Roman"/>
          <w:b/>
          <w:bCs w:val="0"/>
          <w:color w:val="2F5597" w:themeColor="accent1" w:themeShade="BF"/>
          <w:kern w:val="0"/>
          <w:sz w:val="24"/>
          <w:szCs w:val="24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rFonts w:hint="eastAsia" w:cs="Times New Roman"/>
          <w:b/>
          <w:bCs w:val="0"/>
          <w:color w:val="2F5597" w:themeColor="accent1" w:themeShade="BF"/>
          <w:kern w:val="0"/>
          <w:sz w:val="24"/>
          <w:szCs w:val="24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3、</w:t>
      </w:r>
      <w:r>
        <w:rPr>
          <w:rFonts w:hint="eastAsia" w:ascii="宋体" w:hAnsi="宋体" w:eastAsia="宋体" w:cs="Times New Roman"/>
          <w:b/>
          <w:bCs w:val="0"/>
          <w:color w:val="2F5597" w:themeColor="accent1" w:themeShade="BF"/>
          <w:kern w:val="0"/>
          <w:sz w:val="24"/>
          <w:szCs w:val="24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技术参数</w:t>
      </w:r>
    </w:p>
    <w:tbl>
      <w:tblPr>
        <w:tblStyle w:val="12"/>
        <w:tblpPr w:leftFromText="180" w:rightFromText="180" w:vertAnchor="text" w:horzAnchor="page" w:tblpX="1717" w:tblpY="300"/>
        <w:tblOverlap w:val="never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65FEBA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shd w:val="clear" w:color="auto" w:fill="FFFFFF" w:themeFill="background1"/>
            <w:vAlign w:val="center"/>
          </w:tcPr>
          <w:p w14:paraId="05DC54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型号</w:t>
            </w:r>
          </w:p>
        </w:tc>
        <w:tc>
          <w:tcPr>
            <w:tcW w:w="4261" w:type="dxa"/>
            <w:shd w:val="clear" w:color="auto" w:fill="FFFFFF" w:themeFill="background1"/>
            <w:vAlign w:val="center"/>
          </w:tcPr>
          <w:p w14:paraId="160829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HR-1LAS</w:t>
            </w:r>
          </w:p>
        </w:tc>
      </w:tr>
      <w:tr w14:paraId="086108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shd w:val="clear" w:color="auto" w:fill="FFFFFF" w:themeFill="background1"/>
            <w:vAlign w:val="center"/>
          </w:tcPr>
          <w:p w14:paraId="3EE08A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货号</w:t>
            </w:r>
          </w:p>
        </w:tc>
        <w:tc>
          <w:tcPr>
            <w:tcW w:w="4261" w:type="dxa"/>
            <w:shd w:val="clear" w:color="auto" w:fill="FFFFFF" w:themeFill="background1"/>
            <w:vAlign w:val="center"/>
          </w:tcPr>
          <w:p w14:paraId="697D8E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1018022001</w:t>
            </w:r>
          </w:p>
        </w:tc>
      </w:tr>
      <w:tr w14:paraId="546A45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shd w:val="clear" w:color="auto" w:fill="FFFFFF" w:themeFill="background1"/>
            <w:vAlign w:val="center"/>
          </w:tcPr>
          <w:p w14:paraId="6C8F61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电源</w:t>
            </w:r>
          </w:p>
        </w:tc>
        <w:tc>
          <w:tcPr>
            <w:tcW w:w="4261" w:type="dxa"/>
            <w:shd w:val="clear" w:color="auto" w:fill="FFFFFF" w:themeFill="background1"/>
            <w:vAlign w:val="center"/>
          </w:tcPr>
          <w:p w14:paraId="60E826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220V 50/60HZ</w:t>
            </w:r>
          </w:p>
        </w:tc>
      </w:tr>
      <w:tr w14:paraId="7D3C3C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vAlign w:val="center"/>
          </w:tcPr>
          <w:p w14:paraId="29B922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允许搅拌量ml</w:t>
            </w:r>
          </w:p>
        </w:tc>
        <w:tc>
          <w:tcPr>
            <w:tcW w:w="4261" w:type="dxa"/>
            <w:vAlign w:val="center"/>
          </w:tcPr>
          <w:p w14:paraId="18B112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300-1000</w:t>
            </w:r>
          </w:p>
        </w:tc>
      </w:tr>
      <w:tr w14:paraId="550DC1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vAlign w:val="center"/>
          </w:tcPr>
          <w:p w14:paraId="6BE60D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允许乳化量ml</w:t>
            </w:r>
          </w:p>
        </w:tc>
        <w:tc>
          <w:tcPr>
            <w:tcW w:w="4261" w:type="dxa"/>
            <w:vAlign w:val="center"/>
          </w:tcPr>
          <w:p w14:paraId="04F578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300-1000</w:t>
            </w:r>
          </w:p>
        </w:tc>
      </w:tr>
      <w:tr w14:paraId="2266BB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vAlign w:val="center"/>
          </w:tcPr>
          <w:p w14:paraId="5A1F10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工作温度℃</w:t>
            </w:r>
          </w:p>
        </w:tc>
        <w:tc>
          <w:tcPr>
            <w:tcW w:w="4261" w:type="dxa"/>
            <w:vAlign w:val="center"/>
          </w:tcPr>
          <w:p w14:paraId="583A2E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-20~120</w:t>
            </w:r>
            <w:r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℃</w:t>
            </w:r>
          </w:p>
        </w:tc>
      </w:tr>
      <w:tr w14:paraId="0CAFFD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vAlign w:val="center"/>
          </w:tcPr>
          <w:p w14:paraId="16A9715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可达到真空</w:t>
            </w: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mpa</w:t>
            </w:r>
          </w:p>
        </w:tc>
        <w:tc>
          <w:tcPr>
            <w:tcW w:w="4261" w:type="dxa"/>
            <w:vAlign w:val="center"/>
          </w:tcPr>
          <w:p w14:paraId="70AA68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 xml:space="preserve">-0.096mpa   </w:t>
            </w:r>
          </w:p>
        </w:tc>
      </w:tr>
      <w:tr w14:paraId="53DF07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vAlign w:val="center"/>
          </w:tcPr>
          <w:p w14:paraId="4584601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处理粘度</w:t>
            </w: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cp</w:t>
            </w:r>
          </w:p>
        </w:tc>
        <w:tc>
          <w:tcPr>
            <w:tcW w:w="4261" w:type="dxa"/>
            <w:vAlign w:val="center"/>
          </w:tcPr>
          <w:p w14:paraId="2C9FBD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 xml:space="preserve">70000cp   </w:t>
            </w:r>
          </w:p>
        </w:tc>
      </w:tr>
      <w:tr w14:paraId="5A527F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vAlign w:val="center"/>
          </w:tcPr>
          <w:p w14:paraId="0581780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搅拌速度范围</w:t>
            </w: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rpm</w:t>
            </w:r>
          </w:p>
        </w:tc>
        <w:tc>
          <w:tcPr>
            <w:tcW w:w="4261" w:type="dxa"/>
            <w:vAlign w:val="center"/>
          </w:tcPr>
          <w:p w14:paraId="05D244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 xml:space="preserve">0-360rpm      </w:t>
            </w:r>
          </w:p>
        </w:tc>
      </w:tr>
      <w:tr w14:paraId="235D21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vAlign w:val="center"/>
          </w:tcPr>
          <w:p w14:paraId="4F1316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搅拌桨配置</w:t>
            </w:r>
          </w:p>
        </w:tc>
        <w:tc>
          <w:tcPr>
            <w:tcW w:w="4261" w:type="dxa"/>
            <w:vAlign w:val="center"/>
          </w:tcPr>
          <w:p w14:paraId="4CFD6F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不锈钢锚式螺带刮壁搅拌浆</w:t>
            </w:r>
          </w:p>
        </w:tc>
      </w:tr>
      <w:tr w14:paraId="7F6822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vAlign w:val="center"/>
          </w:tcPr>
          <w:p w14:paraId="03E524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刮板材质</w:t>
            </w:r>
          </w:p>
        </w:tc>
        <w:tc>
          <w:tcPr>
            <w:tcW w:w="4261" w:type="dxa"/>
            <w:vAlign w:val="center"/>
          </w:tcPr>
          <w:p w14:paraId="3D43F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 xml:space="preserve">标配四氟，可选配硅橡胶 </w:t>
            </w:r>
          </w:p>
        </w:tc>
      </w:tr>
      <w:tr w14:paraId="0779BB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vAlign w:val="center"/>
          </w:tcPr>
          <w:p w14:paraId="15FC76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均质马达类型</w:t>
            </w:r>
          </w:p>
        </w:tc>
        <w:tc>
          <w:tcPr>
            <w:tcW w:w="4261" w:type="dxa"/>
            <w:vAlign w:val="center"/>
          </w:tcPr>
          <w:p w14:paraId="73A077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无刷电机、可长时间工作</w:t>
            </w:r>
          </w:p>
        </w:tc>
      </w:tr>
      <w:tr w14:paraId="602B62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vAlign w:val="center"/>
          </w:tcPr>
          <w:p w14:paraId="402E68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均质马达功率</w:t>
            </w: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W</w:t>
            </w:r>
          </w:p>
        </w:tc>
        <w:tc>
          <w:tcPr>
            <w:tcW w:w="4261" w:type="dxa"/>
            <w:vAlign w:val="center"/>
          </w:tcPr>
          <w:p w14:paraId="082DBA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1050W</w:t>
            </w:r>
          </w:p>
        </w:tc>
      </w:tr>
      <w:tr w14:paraId="37C524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vAlign w:val="center"/>
          </w:tcPr>
          <w:p w14:paraId="487414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均质速度显示</w:t>
            </w:r>
          </w:p>
        </w:tc>
        <w:tc>
          <w:tcPr>
            <w:tcW w:w="4261" w:type="dxa"/>
            <w:vAlign w:val="center"/>
          </w:tcPr>
          <w:p w14:paraId="7EE77B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数显</w:t>
            </w:r>
          </w:p>
        </w:tc>
      </w:tr>
      <w:tr w14:paraId="204FC9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vAlign w:val="center"/>
          </w:tcPr>
          <w:p w14:paraId="3E7947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均质速度范围</w:t>
            </w: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rpm</w:t>
            </w:r>
          </w:p>
        </w:tc>
        <w:tc>
          <w:tcPr>
            <w:tcW w:w="4261" w:type="dxa"/>
            <w:vAlign w:val="center"/>
          </w:tcPr>
          <w:p w14:paraId="4D6C60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4000-26000rpm</w:t>
            </w:r>
          </w:p>
        </w:tc>
      </w:tr>
      <w:tr w14:paraId="47C5E8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vAlign w:val="center"/>
          </w:tcPr>
          <w:p w14:paraId="7F7E32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均质工作头配置</w:t>
            </w:r>
          </w:p>
        </w:tc>
        <w:tc>
          <w:tcPr>
            <w:tcW w:w="4261" w:type="dxa"/>
            <w:vAlign w:val="center"/>
          </w:tcPr>
          <w:p w14:paraId="309D08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25DG</w:t>
            </w:r>
          </w:p>
        </w:tc>
      </w:tr>
      <w:tr w14:paraId="529048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vAlign w:val="center"/>
          </w:tcPr>
          <w:p w14:paraId="789FFA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反应釜盖材料</w:t>
            </w:r>
          </w:p>
        </w:tc>
        <w:tc>
          <w:tcPr>
            <w:tcW w:w="4261" w:type="dxa"/>
            <w:vAlign w:val="center"/>
          </w:tcPr>
          <w:p w14:paraId="72DEE0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316不锈钢</w:t>
            </w:r>
          </w:p>
        </w:tc>
      </w:tr>
      <w:tr w14:paraId="28D682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vAlign w:val="center"/>
          </w:tcPr>
          <w:p w14:paraId="736102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反应釜盖开口</w:t>
            </w:r>
          </w:p>
        </w:tc>
        <w:tc>
          <w:tcPr>
            <w:tcW w:w="4261" w:type="dxa"/>
            <w:vAlign w:val="center"/>
          </w:tcPr>
          <w:p w14:paraId="3CCEB4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均质机口+料斗口+测温口+真空口+3个备用口</w:t>
            </w:r>
          </w:p>
        </w:tc>
      </w:tr>
      <w:tr w14:paraId="1DEE9F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vAlign w:val="center"/>
          </w:tcPr>
          <w:p w14:paraId="74CF8B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反应釜盖升降方式及</w:t>
            </w:r>
            <w:r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行程</w:t>
            </w:r>
          </w:p>
        </w:tc>
        <w:tc>
          <w:tcPr>
            <w:tcW w:w="4261" w:type="dxa"/>
            <w:vAlign w:val="center"/>
          </w:tcPr>
          <w:p w14:paraId="57923F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电动升降，行程660mm</w:t>
            </w:r>
          </w:p>
        </w:tc>
      </w:tr>
      <w:tr w14:paraId="608A5F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vAlign w:val="center"/>
          </w:tcPr>
          <w:p w14:paraId="0D8F25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与物料主要接触材质</w:t>
            </w:r>
          </w:p>
        </w:tc>
        <w:tc>
          <w:tcPr>
            <w:tcW w:w="4261" w:type="dxa"/>
            <w:vAlign w:val="center"/>
          </w:tcPr>
          <w:p w14:paraId="36C797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SS316L、硼硅玻璃、FKM10、PTFE</w:t>
            </w:r>
          </w:p>
        </w:tc>
      </w:tr>
      <w:tr w14:paraId="5BF196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vAlign w:val="center"/>
          </w:tcPr>
          <w:p w14:paraId="57EA2AC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真空口外径</w:t>
            </w: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mm</w:t>
            </w:r>
          </w:p>
        </w:tc>
        <w:tc>
          <w:tcPr>
            <w:tcW w:w="4261" w:type="dxa"/>
            <w:vAlign w:val="center"/>
          </w:tcPr>
          <w:p w14:paraId="5BC44D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10mm</w:t>
            </w:r>
          </w:p>
        </w:tc>
      </w:tr>
      <w:tr w14:paraId="618085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vAlign w:val="center"/>
          </w:tcPr>
          <w:p w14:paraId="1C3585F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玻璃釜夹套进出口外径</w:t>
            </w: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mm</w:t>
            </w:r>
          </w:p>
        </w:tc>
        <w:tc>
          <w:tcPr>
            <w:tcW w:w="4261" w:type="dxa"/>
            <w:vAlign w:val="center"/>
          </w:tcPr>
          <w:p w14:paraId="1BD9E7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 xml:space="preserve">12mm </w:t>
            </w:r>
          </w:p>
        </w:tc>
      </w:tr>
      <w:tr w14:paraId="76B521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vAlign w:val="center"/>
          </w:tcPr>
          <w:p w14:paraId="7F5886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允许环境温度℃</w:t>
            </w:r>
          </w:p>
        </w:tc>
        <w:tc>
          <w:tcPr>
            <w:tcW w:w="4261" w:type="dxa"/>
            <w:vAlign w:val="center"/>
          </w:tcPr>
          <w:p w14:paraId="3CA71B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5-40</w:t>
            </w:r>
          </w:p>
        </w:tc>
      </w:tr>
      <w:tr w14:paraId="62DBB8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vAlign w:val="center"/>
          </w:tcPr>
          <w:p w14:paraId="381AE8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允许相对温度</w:t>
            </w: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%</w:t>
            </w:r>
          </w:p>
        </w:tc>
        <w:tc>
          <w:tcPr>
            <w:tcW w:w="4261" w:type="dxa"/>
            <w:vAlign w:val="center"/>
          </w:tcPr>
          <w:p w14:paraId="5D45E1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80</w:t>
            </w:r>
          </w:p>
        </w:tc>
      </w:tr>
      <w:tr w14:paraId="24B3CB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vAlign w:val="center"/>
          </w:tcPr>
          <w:p w14:paraId="47DD12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外形尺寸mm</w:t>
            </w:r>
          </w:p>
        </w:tc>
        <w:tc>
          <w:tcPr>
            <w:tcW w:w="4261" w:type="dxa"/>
            <w:vAlign w:val="center"/>
          </w:tcPr>
          <w:p w14:paraId="0ADE69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480*400*840（长*宽*高）</w:t>
            </w:r>
          </w:p>
        </w:tc>
      </w:tr>
      <w:tr w14:paraId="013A6F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vAlign w:val="center"/>
          </w:tcPr>
          <w:p w14:paraId="7DBBD1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标配重量kg</w:t>
            </w:r>
          </w:p>
        </w:tc>
        <w:tc>
          <w:tcPr>
            <w:tcW w:w="4261" w:type="dxa"/>
            <w:vAlign w:val="center"/>
          </w:tcPr>
          <w:p w14:paraId="62A282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48</w:t>
            </w:r>
          </w:p>
        </w:tc>
      </w:tr>
    </w:tbl>
    <w:p w14:paraId="0F30FD42">
      <w:pPr>
        <w:keepNext w:val="0"/>
        <w:keepLines w:val="0"/>
        <w:widowControl/>
        <w:suppressLineNumbers w:val="0"/>
        <w:jc w:val="center"/>
        <w:textAlignment w:val="center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</w:p>
    <w:p w14:paraId="02950C35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0" w:right="0" w:rightChars="0"/>
        <w:jc w:val="left"/>
        <w:textAlignment w:val="auto"/>
        <w:outlineLvl w:val="9"/>
        <w:rPr>
          <w:rFonts w:hint="eastAsia" w:ascii="宋体" w:hAnsi="宋体" w:eastAsia="宋体" w:cs="Times New Roman"/>
          <w:b/>
          <w:bCs w:val="0"/>
          <w:color w:val="2F5597" w:themeColor="accent1" w:themeShade="BF"/>
          <w:kern w:val="0"/>
          <w:sz w:val="24"/>
          <w:szCs w:val="24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rFonts w:hint="eastAsia" w:ascii="宋体" w:hAnsi="宋体" w:eastAsia="宋体" w:cs="Times New Roman"/>
          <w:b/>
          <w:bCs w:val="0"/>
          <w:color w:val="2F5597" w:themeColor="accent1" w:themeShade="BF"/>
          <w:kern w:val="0"/>
          <w:sz w:val="24"/>
          <w:szCs w:val="24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4、装箱清单</w:t>
      </w:r>
    </w:p>
    <w:tbl>
      <w:tblPr>
        <w:tblStyle w:val="12"/>
        <w:tblpPr w:leftFromText="180" w:rightFromText="180" w:vertAnchor="text" w:horzAnchor="page" w:tblpX="1717" w:tblpY="300"/>
        <w:tblOverlap w:val="never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64"/>
        <w:gridCol w:w="3615"/>
        <w:gridCol w:w="2840"/>
      </w:tblGrid>
      <w:tr w14:paraId="51E099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11" w:type="pct"/>
            <w:vAlign w:val="center"/>
          </w:tcPr>
          <w:p w14:paraId="65FE61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配置</w:t>
            </w:r>
          </w:p>
        </w:tc>
        <w:tc>
          <w:tcPr>
            <w:tcW w:w="2121" w:type="pct"/>
            <w:vAlign w:val="center"/>
          </w:tcPr>
          <w:p w14:paraId="36C74C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名称</w:t>
            </w:r>
          </w:p>
        </w:tc>
        <w:tc>
          <w:tcPr>
            <w:tcW w:w="1666" w:type="pct"/>
            <w:vAlign w:val="center"/>
          </w:tcPr>
          <w:p w14:paraId="4AF445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数量</w:t>
            </w:r>
          </w:p>
        </w:tc>
      </w:tr>
      <w:tr w14:paraId="37152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11" w:type="pct"/>
            <w:vMerge w:val="restart"/>
            <w:vAlign w:val="center"/>
          </w:tcPr>
          <w:p w14:paraId="0AEEC3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标配</w:t>
            </w:r>
          </w:p>
        </w:tc>
        <w:tc>
          <w:tcPr>
            <w:tcW w:w="2121" w:type="pct"/>
            <w:vAlign w:val="center"/>
          </w:tcPr>
          <w:p w14:paraId="3EB890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釜主机（电动升降支架，1</w:t>
            </w:r>
            <w:bookmarkStart w:id="0" w:name="_GoBack"/>
            <w:bookmarkEnd w:id="0"/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L高硼硅玻璃釜体，316不锈钢釜盖）</w:t>
            </w:r>
          </w:p>
        </w:tc>
        <w:tc>
          <w:tcPr>
            <w:tcW w:w="1666" w:type="pct"/>
            <w:vAlign w:val="center"/>
          </w:tcPr>
          <w:p w14:paraId="6F7723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1套</w:t>
            </w:r>
          </w:p>
        </w:tc>
      </w:tr>
      <w:tr w14:paraId="7616BE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11" w:type="pct"/>
            <w:vMerge w:val="continue"/>
            <w:vAlign w:val="center"/>
          </w:tcPr>
          <w:p w14:paraId="12934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121" w:type="pct"/>
            <w:vAlign w:val="center"/>
          </w:tcPr>
          <w:p w14:paraId="653DC4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HR-25D乳化机</w:t>
            </w:r>
          </w:p>
        </w:tc>
        <w:tc>
          <w:tcPr>
            <w:tcW w:w="1666" w:type="pct"/>
            <w:vAlign w:val="center"/>
          </w:tcPr>
          <w:p w14:paraId="07C72B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1台</w:t>
            </w:r>
          </w:p>
        </w:tc>
      </w:tr>
      <w:tr w14:paraId="5486C4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11" w:type="pct"/>
            <w:vMerge w:val="continue"/>
            <w:vAlign w:val="center"/>
          </w:tcPr>
          <w:p w14:paraId="75AE6E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121" w:type="pct"/>
            <w:vAlign w:val="center"/>
          </w:tcPr>
          <w:p w14:paraId="22908B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RWD50搅拌器</w:t>
            </w:r>
          </w:p>
        </w:tc>
        <w:tc>
          <w:tcPr>
            <w:tcW w:w="1666" w:type="pct"/>
            <w:vAlign w:val="center"/>
          </w:tcPr>
          <w:p w14:paraId="5B6054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1台</w:t>
            </w:r>
          </w:p>
        </w:tc>
      </w:tr>
      <w:tr w14:paraId="36B98C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11" w:type="pct"/>
            <w:vMerge w:val="continue"/>
            <w:vAlign w:val="center"/>
          </w:tcPr>
          <w:p w14:paraId="19ABB9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121" w:type="pct"/>
            <w:vAlign w:val="center"/>
          </w:tcPr>
          <w:p w14:paraId="322BE5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真空刀头（25DG）</w:t>
            </w:r>
          </w:p>
        </w:tc>
        <w:tc>
          <w:tcPr>
            <w:tcW w:w="1666" w:type="pct"/>
            <w:vAlign w:val="center"/>
          </w:tcPr>
          <w:p w14:paraId="11F0BC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1个</w:t>
            </w:r>
          </w:p>
        </w:tc>
      </w:tr>
      <w:tr w14:paraId="246507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11" w:type="pct"/>
            <w:vMerge w:val="continue"/>
            <w:vAlign w:val="center"/>
          </w:tcPr>
          <w:p w14:paraId="29FBA9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121" w:type="pct"/>
            <w:vAlign w:val="center"/>
          </w:tcPr>
          <w:p w14:paraId="0F8634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电源线</w:t>
            </w:r>
          </w:p>
        </w:tc>
        <w:tc>
          <w:tcPr>
            <w:tcW w:w="1666" w:type="pct"/>
            <w:vAlign w:val="center"/>
          </w:tcPr>
          <w:p w14:paraId="1D7742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1根</w:t>
            </w:r>
          </w:p>
        </w:tc>
      </w:tr>
      <w:tr w14:paraId="60D925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11" w:type="pct"/>
            <w:vMerge w:val="continue"/>
            <w:vAlign w:val="center"/>
          </w:tcPr>
          <w:p w14:paraId="6B79B7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121" w:type="pct"/>
            <w:vAlign w:val="center"/>
          </w:tcPr>
          <w:p w14:paraId="1C16AB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说明书&amp;合格证&amp;保修卡</w:t>
            </w:r>
          </w:p>
        </w:tc>
        <w:tc>
          <w:tcPr>
            <w:tcW w:w="1666" w:type="pct"/>
            <w:vAlign w:val="center"/>
          </w:tcPr>
          <w:p w14:paraId="7C0B07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1份</w:t>
            </w:r>
          </w:p>
        </w:tc>
      </w:tr>
      <w:tr w14:paraId="15E368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11" w:type="pct"/>
            <w:vMerge w:val="restart"/>
            <w:vAlign w:val="center"/>
          </w:tcPr>
          <w:p w14:paraId="009DF7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可选配</w:t>
            </w:r>
          </w:p>
        </w:tc>
        <w:tc>
          <w:tcPr>
            <w:tcW w:w="2121" w:type="pct"/>
            <w:vAlign w:val="center"/>
          </w:tcPr>
          <w:p w14:paraId="3B3CC4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AS系列搅拌器</w:t>
            </w:r>
          </w:p>
        </w:tc>
        <w:tc>
          <w:tcPr>
            <w:tcW w:w="1666" w:type="pct"/>
            <w:vAlign w:val="center"/>
          </w:tcPr>
          <w:p w14:paraId="4C2CED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1台</w:t>
            </w:r>
          </w:p>
        </w:tc>
      </w:tr>
      <w:tr w14:paraId="7EE668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11" w:type="pct"/>
            <w:vMerge w:val="continue"/>
            <w:vAlign w:val="center"/>
          </w:tcPr>
          <w:p w14:paraId="3A8BF4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121" w:type="pct"/>
            <w:vAlign w:val="center"/>
          </w:tcPr>
          <w:p w14:paraId="6921BB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AS系列乳化机</w:t>
            </w:r>
          </w:p>
        </w:tc>
        <w:tc>
          <w:tcPr>
            <w:tcW w:w="1666" w:type="pct"/>
            <w:vAlign w:val="center"/>
          </w:tcPr>
          <w:p w14:paraId="137FB1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1台</w:t>
            </w:r>
          </w:p>
        </w:tc>
      </w:tr>
      <w:tr w14:paraId="4B069F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11" w:type="pct"/>
            <w:vMerge w:val="continue"/>
            <w:vAlign w:val="center"/>
          </w:tcPr>
          <w:p w14:paraId="3013BD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121" w:type="pct"/>
            <w:vAlign w:val="center"/>
          </w:tcPr>
          <w:p w14:paraId="5AA43A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皮拉尼真空计</w:t>
            </w:r>
          </w:p>
        </w:tc>
        <w:tc>
          <w:tcPr>
            <w:tcW w:w="1666" w:type="pct"/>
            <w:vAlign w:val="center"/>
          </w:tcPr>
          <w:p w14:paraId="4F42AB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1套</w:t>
            </w:r>
          </w:p>
        </w:tc>
      </w:tr>
      <w:tr w14:paraId="11590B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11" w:type="pct"/>
            <w:vMerge w:val="continue"/>
            <w:vAlign w:val="center"/>
          </w:tcPr>
          <w:p w14:paraId="723DAA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121" w:type="pct"/>
            <w:vAlign w:val="center"/>
          </w:tcPr>
          <w:p w14:paraId="5DE2A3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恒温槽</w:t>
            </w:r>
          </w:p>
        </w:tc>
        <w:tc>
          <w:tcPr>
            <w:tcW w:w="1666" w:type="pct"/>
            <w:vAlign w:val="center"/>
          </w:tcPr>
          <w:p w14:paraId="305CEC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1台</w:t>
            </w:r>
          </w:p>
        </w:tc>
      </w:tr>
      <w:tr w14:paraId="41F432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11" w:type="pct"/>
            <w:vMerge w:val="continue"/>
            <w:vAlign w:val="center"/>
          </w:tcPr>
          <w:p w14:paraId="665FB7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121" w:type="pct"/>
            <w:vAlign w:val="center"/>
          </w:tcPr>
          <w:p w14:paraId="036334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真空泵</w:t>
            </w:r>
          </w:p>
        </w:tc>
        <w:tc>
          <w:tcPr>
            <w:tcW w:w="1666" w:type="pct"/>
            <w:vAlign w:val="center"/>
          </w:tcPr>
          <w:p w14:paraId="047CF8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1台</w:t>
            </w:r>
          </w:p>
        </w:tc>
      </w:tr>
    </w:tbl>
    <w:p w14:paraId="06A527D6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0" w:right="0" w:rightChars="0"/>
        <w:jc w:val="left"/>
        <w:textAlignment w:val="auto"/>
        <w:outlineLvl w:val="9"/>
        <w:rPr>
          <w:rFonts w:hint="default" w:cs="Times New Roman"/>
          <w:b/>
          <w:color w:val="4472C4" w:themeColor="accent1"/>
          <w:kern w:val="0"/>
          <w:sz w:val="24"/>
          <w:szCs w:val="24"/>
          <w:lang w:val="en-US" w:eastAsia="zh-CN" w:bidi="ar-SA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</w:pPr>
    </w:p>
    <w:p w14:paraId="3CD90531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0"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i w:val="0"/>
          <w:caps w:val="0"/>
          <w:color w:val="474747"/>
          <w:spacing w:val="0"/>
          <w:sz w:val="24"/>
          <w:szCs w:val="24"/>
          <w:u w:val="none"/>
          <w:shd w:val="clear" w:fill="FFFFFF"/>
        </w:rPr>
      </w:pPr>
    </w:p>
    <w:p w14:paraId="35F614EC"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45" w:lineRule="atLeast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474747"/>
          <w:spacing w:val="0"/>
          <w:sz w:val="24"/>
          <w:szCs w:val="24"/>
          <w:u w:val="none"/>
          <w:shd w:val="clear" w:fill="FFFFFF"/>
          <w:lang w:val="en-US" w:eastAsia="zh-CN"/>
        </w:rPr>
      </w:pPr>
    </w:p>
    <w:p w14:paraId="06F8B5A9"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45" w:lineRule="atLeast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474747"/>
          <w:spacing w:val="0"/>
          <w:sz w:val="24"/>
          <w:szCs w:val="24"/>
          <w:u w:val="none"/>
          <w:shd w:val="clear" w:fill="FFFFFF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0" w:footer="964" w:gutter="0"/>
      <w:pgBorders w:offsetFrom="page"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C8022A">
    <w:pPr>
      <w:pStyle w:val="5"/>
      <w:keepNext w:val="0"/>
      <w:keepLines w:val="0"/>
      <w:widowControl/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hd w:val="clear" w:fill="FFFFFF"/>
      <w:spacing w:before="120" w:beforeAutospacing="0" w:after="120" w:afterAutospacing="0"/>
      <w:ind w:left="0" w:right="0" w:firstLine="0"/>
      <w:jc w:val="both"/>
      <w:rPr>
        <w:rFonts w:hint="eastAsia" w:ascii="宋体" w:hAnsi="宋体" w:eastAsia="宋体" w:cs="宋体"/>
        <w:sz w:val="18"/>
        <w:szCs w:val="18"/>
        <w:lang w:val="en-US" w:eastAsia="zh-CN"/>
      </w:rPr>
    </w:pPr>
  </w:p>
  <w:p w14:paraId="01396075">
    <w:pPr>
      <w:pStyle w:val="5"/>
      <w:keepNext w:val="0"/>
      <w:keepLines w:val="0"/>
      <w:widowControl/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hd w:val="clear" w:fill="FFFFFF"/>
      <w:spacing w:before="120" w:beforeAutospacing="0" w:after="120" w:afterAutospacing="0"/>
      <w:ind w:left="0" w:right="0" w:firstLine="0"/>
      <w:jc w:val="both"/>
      <w:rPr>
        <w:rFonts w:hint="eastAsia" w:ascii="宋体" w:hAnsi="宋体" w:eastAsia="宋体" w:cs="宋体"/>
        <w:color w:val="181717" w:themeColor="background2" w:themeShade="1A"/>
        <w:sz w:val="18"/>
        <w:szCs w:val="18"/>
        <w:lang w:val="en-US" w:eastAsia="zh-CN"/>
      </w:rPr>
    </w:pPr>
  </w:p>
  <w:p w14:paraId="2D100256">
    <w:pPr>
      <w:pStyle w:val="5"/>
      <w:keepNext w:val="0"/>
      <w:keepLines w:val="0"/>
      <w:widowControl/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hd w:val="clear" w:fill="FFFFFF"/>
      <w:spacing w:before="120" w:beforeAutospacing="0" w:after="120" w:afterAutospacing="0"/>
      <w:ind w:left="0" w:right="0" w:firstLine="0"/>
      <w:rPr>
        <w:rFonts w:ascii="微软雅黑" w:hAnsi="微软雅黑" w:eastAsia="微软雅黑" w:cs="微软雅黑"/>
        <w:i w:val="0"/>
        <w:caps w:val="0"/>
        <w:color w:val="959FE7"/>
        <w:spacing w:val="0"/>
        <w:sz w:val="18"/>
        <w:szCs w:val="18"/>
        <w:lang w:val="en-US"/>
      </w:rPr>
    </w:pPr>
  </w:p>
  <w:p w14:paraId="4AB4ED39">
    <w:pPr>
      <w:pStyle w:val="8"/>
      <w:ind w:firstLine="960" w:firstLineChars="400"/>
      <w:rPr>
        <w:rFonts w:hint="eastAsia" w:eastAsia="宋体"/>
        <w:sz w:val="24"/>
        <w:szCs w:val="24"/>
        <w:lang w:val="en-US" w:eastAsia="zh-CN"/>
        <w14:textOutline w14:w="12700" w14:cmpd="sng">
          <w14:solidFill>
            <w14:schemeClr w14:val="accent1">
              <w14:alpha w14:val="0"/>
            </w14:schemeClr>
          </w14:solidFill>
          <w14:prstDash w14:val="solid"/>
          <w14:round/>
        </w14:textOutline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0B412D">
    <w:pPr>
      <w:pStyle w:val="10"/>
      <w:spacing w:line="240" w:lineRule="atLeast"/>
      <w:jc w:val="both"/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</w:pPr>
    <w:r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  <w:drawing>
        <wp:inline distT="0" distB="0" distL="114300" distR="114300">
          <wp:extent cx="824865" cy="824865"/>
          <wp:effectExtent l="0" t="0" r="13335" b="13335"/>
          <wp:docPr id="2" name="图片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4865" cy="824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F07967">
    <w:pPr>
      <w:pStyle w:val="9"/>
      <w:pBdr>
        <w:bottom w:val="none" w:color="auto" w:sz="0" w:space="1"/>
      </w:pBdr>
      <w:tabs>
        <w:tab w:val="center" w:pos="4153"/>
        <w:tab w:val="right" w:pos="8306"/>
      </w:tabs>
      <w:jc w:val="center"/>
      <w:rPr>
        <w:b/>
        <w:color w:val="203864" w:themeColor="accent1" w:themeShade="80"/>
        <w:sz w:val="30"/>
        <w:szCs w:val="30"/>
      </w:rPr>
    </w:pPr>
    <w:r>
      <w:rPr>
        <w:rFonts w:hint="eastAsia"/>
        <w:b/>
        <w:color w:val="203864" w:themeColor="accent1" w:themeShade="80"/>
        <w:sz w:val="30"/>
        <w:szCs w:val="30"/>
      </w:rPr>
      <w:t>上海沪析实业有限公司</w:t>
    </w:r>
  </w:p>
  <w:p w14:paraId="06184A4E">
    <w:pPr>
      <w:jc w:val="center"/>
      <w:rPr>
        <w:sz w:val="24"/>
        <w:szCs w:val="24"/>
      </w:rPr>
    </w:pPr>
    <w:r>
      <w:rPr>
        <w:rFonts w:hint="eastAsia"/>
        <w:b/>
        <w:bCs/>
        <w:color w:val="203864" w:themeColor="accent1" w:themeShade="80"/>
        <w:kern w:val="0"/>
      </w:rPr>
      <w:t>Shanghai Huxi Industry Co., Ltd.,</w:t>
    </w:r>
  </w:p>
  <w:p w14:paraId="3C85CE25">
    <w:pPr>
      <w:pStyle w:val="9"/>
      <w:jc w:val="both"/>
    </w:pPr>
  </w:p>
  <w:p w14:paraId="3E2B571E">
    <w:pPr>
      <w:pStyle w:val="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7AC595F"/>
    <w:multiLevelType w:val="singleLevel"/>
    <w:tmpl w:val="B7AC595F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abstractNum w:abstractNumId="1">
    <w:nsid w:val="ED421E54"/>
    <w:multiLevelType w:val="singleLevel"/>
    <w:tmpl w:val="ED421E5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53CC7292"/>
    <w:multiLevelType w:val="singleLevel"/>
    <w:tmpl w:val="53CC7292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lYzdmZDU4NDA1NmI5ODM1ZDk5MTc4M2VjMzgyYjMifQ=="/>
  </w:docVars>
  <w:rsids>
    <w:rsidRoot w:val="00172A27"/>
    <w:rsid w:val="00000422"/>
    <w:rsid w:val="0002414F"/>
    <w:rsid w:val="00091A92"/>
    <w:rsid w:val="000A30B6"/>
    <w:rsid w:val="000F0EE7"/>
    <w:rsid w:val="001C2F0D"/>
    <w:rsid w:val="0020067A"/>
    <w:rsid w:val="00227827"/>
    <w:rsid w:val="00262F28"/>
    <w:rsid w:val="002B6FFF"/>
    <w:rsid w:val="002C777E"/>
    <w:rsid w:val="002F2DF2"/>
    <w:rsid w:val="002F500E"/>
    <w:rsid w:val="002F74BD"/>
    <w:rsid w:val="00343CBD"/>
    <w:rsid w:val="003775A9"/>
    <w:rsid w:val="003D498D"/>
    <w:rsid w:val="004A2EE0"/>
    <w:rsid w:val="004E7E09"/>
    <w:rsid w:val="00535C95"/>
    <w:rsid w:val="00580C1D"/>
    <w:rsid w:val="00596893"/>
    <w:rsid w:val="005A5BBC"/>
    <w:rsid w:val="0069114D"/>
    <w:rsid w:val="00741072"/>
    <w:rsid w:val="007650E0"/>
    <w:rsid w:val="00784035"/>
    <w:rsid w:val="007A51F4"/>
    <w:rsid w:val="00854961"/>
    <w:rsid w:val="008B2ECB"/>
    <w:rsid w:val="00955DE4"/>
    <w:rsid w:val="0098299C"/>
    <w:rsid w:val="00990FAD"/>
    <w:rsid w:val="009E7CF6"/>
    <w:rsid w:val="00A4672B"/>
    <w:rsid w:val="00A94E0D"/>
    <w:rsid w:val="00AA4A1B"/>
    <w:rsid w:val="00AA5CBF"/>
    <w:rsid w:val="00B61697"/>
    <w:rsid w:val="00B839ED"/>
    <w:rsid w:val="00BD42F1"/>
    <w:rsid w:val="00C47428"/>
    <w:rsid w:val="00C83139"/>
    <w:rsid w:val="00DA0404"/>
    <w:rsid w:val="00DA6A09"/>
    <w:rsid w:val="00E15CAB"/>
    <w:rsid w:val="00E2271A"/>
    <w:rsid w:val="00E54BE6"/>
    <w:rsid w:val="00E610B3"/>
    <w:rsid w:val="00E62DD8"/>
    <w:rsid w:val="00E900EE"/>
    <w:rsid w:val="00EC783E"/>
    <w:rsid w:val="00EF22FA"/>
    <w:rsid w:val="00EF585C"/>
    <w:rsid w:val="00FE197F"/>
    <w:rsid w:val="017212D3"/>
    <w:rsid w:val="02AA71DB"/>
    <w:rsid w:val="02CB01CA"/>
    <w:rsid w:val="02D933F4"/>
    <w:rsid w:val="02F87F3E"/>
    <w:rsid w:val="037F102F"/>
    <w:rsid w:val="03F258F4"/>
    <w:rsid w:val="04E918A9"/>
    <w:rsid w:val="0692734F"/>
    <w:rsid w:val="072112E2"/>
    <w:rsid w:val="07553E41"/>
    <w:rsid w:val="075F1A20"/>
    <w:rsid w:val="080F49DE"/>
    <w:rsid w:val="091F1204"/>
    <w:rsid w:val="0A0F696E"/>
    <w:rsid w:val="0A184A29"/>
    <w:rsid w:val="0A366F57"/>
    <w:rsid w:val="0A965B96"/>
    <w:rsid w:val="0FB0474F"/>
    <w:rsid w:val="0FBC0363"/>
    <w:rsid w:val="10C02CE0"/>
    <w:rsid w:val="10E60B82"/>
    <w:rsid w:val="10EB3251"/>
    <w:rsid w:val="11385EB2"/>
    <w:rsid w:val="117D1E52"/>
    <w:rsid w:val="11F010D7"/>
    <w:rsid w:val="12F323D9"/>
    <w:rsid w:val="13377D20"/>
    <w:rsid w:val="162626F1"/>
    <w:rsid w:val="163338FF"/>
    <w:rsid w:val="167836D1"/>
    <w:rsid w:val="16855545"/>
    <w:rsid w:val="16A71820"/>
    <w:rsid w:val="16E060CC"/>
    <w:rsid w:val="18711AC3"/>
    <w:rsid w:val="1886336C"/>
    <w:rsid w:val="1976192B"/>
    <w:rsid w:val="19793BD5"/>
    <w:rsid w:val="1A4C7833"/>
    <w:rsid w:val="1AB80B3F"/>
    <w:rsid w:val="1B871C86"/>
    <w:rsid w:val="1C4A28F1"/>
    <w:rsid w:val="1C8D4EFF"/>
    <w:rsid w:val="1CE2186A"/>
    <w:rsid w:val="1E486378"/>
    <w:rsid w:val="1F8C314A"/>
    <w:rsid w:val="1F995798"/>
    <w:rsid w:val="2159429D"/>
    <w:rsid w:val="216A23E2"/>
    <w:rsid w:val="22E601DB"/>
    <w:rsid w:val="23243285"/>
    <w:rsid w:val="23B83541"/>
    <w:rsid w:val="241D3C4F"/>
    <w:rsid w:val="246A0583"/>
    <w:rsid w:val="24AE6CFC"/>
    <w:rsid w:val="24FF2735"/>
    <w:rsid w:val="293B2E83"/>
    <w:rsid w:val="295A600F"/>
    <w:rsid w:val="29F81851"/>
    <w:rsid w:val="2A574F5A"/>
    <w:rsid w:val="2A602115"/>
    <w:rsid w:val="2A847618"/>
    <w:rsid w:val="2AC31D90"/>
    <w:rsid w:val="2BE36FED"/>
    <w:rsid w:val="2C2B4AD0"/>
    <w:rsid w:val="2C936415"/>
    <w:rsid w:val="2CBC35B2"/>
    <w:rsid w:val="2D270418"/>
    <w:rsid w:val="2D9E504D"/>
    <w:rsid w:val="2DBB4423"/>
    <w:rsid w:val="2DFE6A4F"/>
    <w:rsid w:val="2E5E5B1C"/>
    <w:rsid w:val="2EBD06B4"/>
    <w:rsid w:val="2F454C8E"/>
    <w:rsid w:val="2F6B4CA2"/>
    <w:rsid w:val="30667F5E"/>
    <w:rsid w:val="31880C30"/>
    <w:rsid w:val="319A122D"/>
    <w:rsid w:val="32494755"/>
    <w:rsid w:val="34121BAC"/>
    <w:rsid w:val="348346E6"/>
    <w:rsid w:val="348E7F12"/>
    <w:rsid w:val="35B92EB0"/>
    <w:rsid w:val="35E93C67"/>
    <w:rsid w:val="36585CBC"/>
    <w:rsid w:val="36E10A24"/>
    <w:rsid w:val="375A6985"/>
    <w:rsid w:val="3A045A6B"/>
    <w:rsid w:val="3A542ACC"/>
    <w:rsid w:val="3ABF1760"/>
    <w:rsid w:val="3AC76104"/>
    <w:rsid w:val="3BC31880"/>
    <w:rsid w:val="3C5E63A4"/>
    <w:rsid w:val="3D673D08"/>
    <w:rsid w:val="3DA6127B"/>
    <w:rsid w:val="3DEB6E30"/>
    <w:rsid w:val="3E2972F7"/>
    <w:rsid w:val="3E2B5E06"/>
    <w:rsid w:val="3F4A2D19"/>
    <w:rsid w:val="3F5331A1"/>
    <w:rsid w:val="40292C18"/>
    <w:rsid w:val="40764144"/>
    <w:rsid w:val="410B44C7"/>
    <w:rsid w:val="42D21117"/>
    <w:rsid w:val="43EA5F2F"/>
    <w:rsid w:val="442711AA"/>
    <w:rsid w:val="45F23EF4"/>
    <w:rsid w:val="469045BC"/>
    <w:rsid w:val="484C0B30"/>
    <w:rsid w:val="486E07B7"/>
    <w:rsid w:val="496A3D67"/>
    <w:rsid w:val="498B526A"/>
    <w:rsid w:val="4A527F2C"/>
    <w:rsid w:val="4A5E7C61"/>
    <w:rsid w:val="4AA4627F"/>
    <w:rsid w:val="4ADC76DB"/>
    <w:rsid w:val="4CA81950"/>
    <w:rsid w:val="4D2E5D18"/>
    <w:rsid w:val="4D4E77F2"/>
    <w:rsid w:val="4E5A39E8"/>
    <w:rsid w:val="4E931B10"/>
    <w:rsid w:val="4FD73045"/>
    <w:rsid w:val="50635504"/>
    <w:rsid w:val="50D43B75"/>
    <w:rsid w:val="5144296E"/>
    <w:rsid w:val="51C771E3"/>
    <w:rsid w:val="51F9487C"/>
    <w:rsid w:val="52EE746C"/>
    <w:rsid w:val="52F07743"/>
    <w:rsid w:val="532742F5"/>
    <w:rsid w:val="5452446D"/>
    <w:rsid w:val="563C7D3B"/>
    <w:rsid w:val="567A4548"/>
    <w:rsid w:val="576F688D"/>
    <w:rsid w:val="5826783E"/>
    <w:rsid w:val="583769F4"/>
    <w:rsid w:val="5844005D"/>
    <w:rsid w:val="584B235A"/>
    <w:rsid w:val="58926505"/>
    <w:rsid w:val="58AF7EB4"/>
    <w:rsid w:val="58C6092D"/>
    <w:rsid w:val="58F34817"/>
    <w:rsid w:val="591C6583"/>
    <w:rsid w:val="594D1214"/>
    <w:rsid w:val="59AB3574"/>
    <w:rsid w:val="5BDA755D"/>
    <w:rsid w:val="5C216B74"/>
    <w:rsid w:val="5C4D4DA1"/>
    <w:rsid w:val="5DDC6E97"/>
    <w:rsid w:val="5E484209"/>
    <w:rsid w:val="607225C9"/>
    <w:rsid w:val="608B6872"/>
    <w:rsid w:val="61FA2450"/>
    <w:rsid w:val="624F31B6"/>
    <w:rsid w:val="626F460D"/>
    <w:rsid w:val="62737F03"/>
    <w:rsid w:val="62BD7680"/>
    <w:rsid w:val="63B80222"/>
    <w:rsid w:val="64BB3B0A"/>
    <w:rsid w:val="64E04198"/>
    <w:rsid w:val="64F85266"/>
    <w:rsid w:val="65173864"/>
    <w:rsid w:val="670342D9"/>
    <w:rsid w:val="67074C35"/>
    <w:rsid w:val="67B86FD5"/>
    <w:rsid w:val="68CC736B"/>
    <w:rsid w:val="69A05A18"/>
    <w:rsid w:val="6A274783"/>
    <w:rsid w:val="6A895B7D"/>
    <w:rsid w:val="6A90794E"/>
    <w:rsid w:val="6AB4227F"/>
    <w:rsid w:val="6B3B6611"/>
    <w:rsid w:val="6B5251F4"/>
    <w:rsid w:val="6B6C7258"/>
    <w:rsid w:val="6BA7011A"/>
    <w:rsid w:val="6D440A99"/>
    <w:rsid w:val="6DFB560B"/>
    <w:rsid w:val="6DFE3277"/>
    <w:rsid w:val="6E8C5829"/>
    <w:rsid w:val="6F17421F"/>
    <w:rsid w:val="6F7B3153"/>
    <w:rsid w:val="6F975B11"/>
    <w:rsid w:val="7001163F"/>
    <w:rsid w:val="717656FE"/>
    <w:rsid w:val="71E561F0"/>
    <w:rsid w:val="73587C07"/>
    <w:rsid w:val="737F1A45"/>
    <w:rsid w:val="73974732"/>
    <w:rsid w:val="74A64C8E"/>
    <w:rsid w:val="75EA64FF"/>
    <w:rsid w:val="769B0538"/>
    <w:rsid w:val="76E353C5"/>
    <w:rsid w:val="77C15694"/>
    <w:rsid w:val="78323E75"/>
    <w:rsid w:val="78F84331"/>
    <w:rsid w:val="78FD502C"/>
    <w:rsid w:val="79D949B7"/>
    <w:rsid w:val="79EB46F6"/>
    <w:rsid w:val="79FB6B36"/>
    <w:rsid w:val="7A61311F"/>
    <w:rsid w:val="7A664B08"/>
    <w:rsid w:val="7AA2317C"/>
    <w:rsid w:val="7AB7745D"/>
    <w:rsid w:val="7B87429A"/>
    <w:rsid w:val="7B965710"/>
    <w:rsid w:val="7C250BD3"/>
    <w:rsid w:val="7CAD3559"/>
    <w:rsid w:val="7D806002"/>
    <w:rsid w:val="7E1E42EF"/>
    <w:rsid w:val="7EB41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4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9"/>
    <w:autoRedefine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2">
    <w:name w:val="Table Grid"/>
    <w:basedOn w:val="11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Light Grid Accent 5"/>
    <w:basedOn w:val="11"/>
    <w:qFormat/>
    <w:uiPriority w:val="62"/>
    <w:tblPr>
      <w:tblBorders>
        <w:top w:val="single" w:color="5B9BD5" w:themeColor="accent5" w:sz="8" w:space="0"/>
        <w:left w:val="single" w:color="5B9BD5" w:themeColor="accent5" w:sz="8" w:space="0"/>
        <w:bottom w:val="single" w:color="5B9BD5" w:themeColor="accent5" w:sz="8" w:space="0"/>
        <w:right w:val="single" w:color="5B9BD5" w:themeColor="accent5" w:sz="8" w:space="0"/>
        <w:insideH w:val="single" w:color="5B9BD5" w:themeColor="accent5" w:sz="8" w:space="0"/>
        <w:insideV w:val="single" w:color="5B9BD5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1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B9BD5" w:themeColor="accent5" w:sz="6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</w:tcPr>
    </w:tblStylePr>
    <w:tblStylePr w:type="band1Vert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</w:tcPr>
    </w:tblStyle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Hyperlink"/>
    <w:basedOn w:val="14"/>
    <w:autoRedefine/>
    <w:unhideWhenUsed/>
    <w:qFormat/>
    <w:uiPriority w:val="99"/>
    <w:rPr>
      <w:color w:val="0000FF"/>
      <w:u w:val="single"/>
    </w:rPr>
  </w:style>
  <w:style w:type="character" w:customStyle="1" w:styleId="17">
    <w:name w:val="页脚 Char"/>
    <w:basedOn w:val="14"/>
    <w:link w:val="8"/>
    <w:autoRedefine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autoRedefine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9">
    <w:name w:val="批注框文本 Char"/>
    <w:basedOn w:val="14"/>
    <w:link w:val="7"/>
    <w:autoRedefine/>
    <w:semiHidden/>
    <w:qFormat/>
    <w:uiPriority w:val="99"/>
    <w:rPr>
      <w:kern w:val="2"/>
      <w:sz w:val="18"/>
      <w:szCs w:val="18"/>
    </w:rPr>
  </w:style>
  <w:style w:type="paragraph" w:customStyle="1" w:styleId="20">
    <w:name w:val="样式1"/>
    <w:basedOn w:val="1"/>
    <w:next w:val="8"/>
    <w:autoRedefine/>
    <w:qFormat/>
    <w:uiPriority w:val="0"/>
    <w:pPr>
      <w:jc w:val="center"/>
    </w:pPr>
  </w:style>
  <w:style w:type="paragraph" w:customStyle="1" w:styleId="21">
    <w:name w:val="列出段落1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79C3209-937D-4768-B014-3599857623A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927</Words>
  <Characters>1098</Characters>
  <Lines>7</Lines>
  <Paragraphs>2</Paragraphs>
  <TotalTime>0</TotalTime>
  <ScaleCrop>false</ScaleCrop>
  <LinksUpToDate>false</LinksUpToDate>
  <CharactersWithSpaces>1114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2018-05-21T01:33:00Z</dcterms:created>
  <dc:creator>孙长娟</dc:creator>
  <cp:lastModifiedBy>五七</cp:lastModifiedBy>
  <dcterms:modified xsi:type="dcterms:W3CDTF">2025-02-25T01:06:44Z</dcterms:modified>
  <cp:revision>74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76304554E9E644218031D8C17620E127</vt:lpwstr>
  </property>
  <property fmtid="{D5CDD505-2E9C-101B-9397-08002B2CF9AE}" pid="4" name="KSOTemplateDocerSaveRecord">
    <vt:lpwstr>eyJoZGlkIjoiZThlYzdmZDU4NDA1NmI5ODM1ZDk5MTc4M2VjMzgyYjMiLCJ1c2VySWQiOiI0MzIzNDk0NzMifQ==</vt:lpwstr>
  </property>
</Properties>
</file>