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971E">
      <w:pPr>
        <w:tabs>
          <w:tab w:val="left" w:pos="7161"/>
        </w:tabs>
        <w:jc w:val="center"/>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1651635</wp:posOffset>
                </wp:positionH>
                <wp:positionV relativeFrom="paragraph">
                  <wp:posOffset>3312160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9BCCB">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05pt;margin-top:260.8pt;height:144pt;width:144pt;mso-wrap-distance-bottom:0pt;mso-wrap-distance-top:0pt;mso-wrap-style:none;z-index:251662336;mso-width-relative:page;mso-height-relative:page;" filled="f" stroked="f" coordsize="21600,21600" o:gfxdata="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Iztb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14:paraId="0909BCCB">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HR-1500DRH电动升降乳</w:t>
                      </w:r>
                      <w:r>
                        <w:rPr>
                          <w:rFonts w:hint="eastAsia" w:ascii="宋体" w:hAnsi="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eastAsia="宋体"/>
          <w:sz w:val="30"/>
          <w:lang w:eastAsia="zh-CN"/>
        </w:rPr>
        <w:drawing>
          <wp:inline distT="0" distB="0" distL="114300" distR="114300">
            <wp:extent cx="2967990" cy="2967990"/>
            <wp:effectExtent l="0" t="0" r="0" b="0"/>
            <wp:docPr id="6" name="图片 6"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图"/>
                    <pic:cNvPicPr>
                      <a:picLocks noChangeAspect="1"/>
                    </pic:cNvPicPr>
                  </pic:nvPicPr>
                  <pic:blipFill>
                    <a:blip r:embed="rId6"/>
                    <a:stretch>
                      <a:fillRect/>
                    </a:stretch>
                  </pic:blipFill>
                  <pic:spPr>
                    <a:xfrm>
                      <a:off x="0" y="0"/>
                      <a:ext cx="2967990" cy="2967990"/>
                    </a:xfrm>
                    <a:prstGeom prst="rect">
                      <a:avLst/>
                    </a:prstGeom>
                  </pic:spPr>
                </pic:pic>
              </a:graphicData>
            </a:graphic>
          </wp:inline>
        </w:drawing>
      </w:r>
    </w:p>
    <w:p w14:paraId="67430001">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-62230</wp:posOffset>
                </wp:positionH>
                <wp:positionV relativeFrom="paragraph">
                  <wp:posOffset>1195070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94.1pt;height:0.3pt;width:415.15pt;z-index:-251655168;mso-width-relative:page;mso-height-relative:page;" filled="f" stroked="t" coordsize="21600,21600" o:gfxdata="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uxL6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A823E">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43AA823E">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6E6B05A2">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14:paraId="0A260C1F">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53BC5E8A">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392E76E9">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14:paraId="3B9F5D9E">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14:paraId="04B2AE2A">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14:paraId="1DDCA988">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14:paraId="11C48AAC">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14:paraId="60EE6F35">
      <w:pPr>
        <w:widowControl/>
        <w:shd w:val="clear" w:color="auto" w:fill="FFFFFF"/>
        <w:spacing w:line="360" w:lineRule="auto"/>
        <w:jc w:val="left"/>
        <w:rPr>
          <w:color w:val="2F5597" w:themeColor="accent1" w:themeShade="BF"/>
          <w:sz w:val="24"/>
          <w:szCs w:val="24"/>
        </w:rPr>
      </w:pPr>
    </w:p>
    <w:p w14:paraId="001A92E9">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3120;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14:paraId="78F6C552">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14:paraId="30C43EE7">
      <w:pPr>
        <w:widowControl/>
        <w:shd w:val="clear" w:color="auto" w:fill="FFFFFF"/>
        <w:spacing w:line="360" w:lineRule="auto"/>
        <w:jc w:val="left"/>
        <w:rPr>
          <w:rFonts w:ascii="宋体" w:hAnsi="宋体" w:cs="宋体"/>
          <w:color w:val="2F5597" w:themeColor="accent1" w:themeShade="BF"/>
          <w:sz w:val="24"/>
          <w:szCs w:val="24"/>
        </w:rPr>
      </w:pPr>
    </w:p>
    <w:p w14:paraId="5BC96158">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06ABAC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47DCC3CA">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14:paraId="67CB3D5F">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HR-1500DRH</w:t>
            </w:r>
          </w:p>
        </w:tc>
      </w:tr>
      <w:tr w14:paraId="34B4E6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28AA532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14:paraId="2CF5BEC9">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1030021001</w:t>
            </w:r>
          </w:p>
        </w:tc>
      </w:tr>
      <w:tr w14:paraId="6404C0B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4D5F362">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14:paraId="0E8E3ADE">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14:paraId="0538E2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1B5FFCB0">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14:paraId="1DEFC554">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1500W</w:t>
            </w:r>
          </w:p>
        </w:tc>
      </w:tr>
      <w:tr w14:paraId="7C150F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14:paraId="00EABBFC">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eastAsia="zh-CN" w:bidi="ar"/>
              </w:rPr>
              <w:t>建议</w:t>
            </w:r>
            <w:r>
              <w:rPr>
                <w:rStyle w:val="15"/>
                <w:rFonts w:ascii="宋体" w:hAnsi="宋体" w:cs="宋体"/>
                <w:b w:val="0"/>
                <w:bCs w:val="0"/>
                <w:color w:val="2F5597" w:themeColor="accent1" w:themeShade="BF"/>
                <w:kern w:val="0"/>
                <w:sz w:val="24"/>
                <w:szCs w:val="24"/>
                <w:shd w:val="clear" w:color="auto" w:fill="FFFFFF"/>
                <w:lang w:bidi="ar"/>
              </w:rPr>
              <w:t>处理量</w:t>
            </w:r>
          </w:p>
        </w:tc>
        <w:tc>
          <w:tcPr>
            <w:tcW w:w="4261" w:type="dxa"/>
            <w:tcBorders>
              <w:tl2br w:val="nil"/>
              <w:tr2bl w:val="nil"/>
            </w:tcBorders>
            <w:shd w:val="clear" w:color="auto" w:fill="FFFFFF" w:themeFill="background1"/>
            <w:vAlign w:val="center"/>
          </w:tcPr>
          <w:p w14:paraId="3E4C2127">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50L</w:t>
            </w:r>
          </w:p>
        </w:tc>
      </w:tr>
      <w:tr w14:paraId="5F85F3E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D9DE8BA">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14:paraId="30644031">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14:paraId="7B75BB6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C1E7A38">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14:paraId="17ED9EE9">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w:t>
            </w:r>
          </w:p>
        </w:tc>
      </w:tr>
      <w:tr w14:paraId="1F7ADC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6D40175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14:paraId="0D536C67">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14:paraId="0DB089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1747044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14:paraId="2CB68165">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14:paraId="1804367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20BC863A">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14:paraId="32FC05EE">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w:t>
            </w:r>
            <w:r>
              <w:rPr>
                <w:rStyle w:val="15"/>
                <w:rFonts w:hint="eastAsia" w:ascii="宋体" w:hAnsi="宋体" w:cs="宋体"/>
                <w:b w:val="0"/>
                <w:bCs w:val="0"/>
                <w:color w:val="2F5597" w:themeColor="accent1" w:themeShade="BF"/>
                <w:kern w:val="0"/>
                <w:sz w:val="24"/>
                <w:szCs w:val="24"/>
                <w:shd w:val="clear" w:color="auto" w:fill="FFFFFF"/>
                <w:lang w:bidi="ar"/>
              </w:rPr>
              <w:t>00mm</w:t>
            </w:r>
          </w:p>
        </w:tc>
      </w:tr>
      <w:tr w14:paraId="40B137A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14:paraId="750BDFF8">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14:paraId="357D5C21">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14:paraId="3DC4BF2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5A7158EF">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14:paraId="28D86B20">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395*420mm</w:t>
            </w:r>
          </w:p>
        </w:tc>
      </w:tr>
      <w:tr w14:paraId="3DC743B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15A15166">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乳化机工作</w:t>
            </w:r>
            <w:bookmarkStart w:id="0" w:name="_GoBack"/>
            <w:bookmarkEnd w:id="0"/>
            <w:r>
              <w:rPr>
                <w:rStyle w:val="15"/>
                <w:rFonts w:hint="eastAsia" w:ascii="宋体" w:hAnsi="宋体" w:cs="宋体"/>
                <w:b w:val="0"/>
                <w:bCs w:val="0"/>
                <w:color w:val="2F5597" w:themeColor="accent1" w:themeShade="BF"/>
                <w:kern w:val="0"/>
                <w:sz w:val="24"/>
                <w:szCs w:val="24"/>
                <w:shd w:val="clear" w:color="auto" w:fill="FFFFFF"/>
                <w:lang w:val="en-US" w:eastAsia="zh-CN" w:bidi="ar"/>
              </w:rPr>
              <w:t>头长</w:t>
            </w:r>
          </w:p>
        </w:tc>
        <w:tc>
          <w:tcPr>
            <w:tcW w:w="4261" w:type="dxa"/>
            <w:tcBorders>
              <w:tl2br w:val="nil"/>
              <w:tr2bl w:val="nil"/>
            </w:tcBorders>
            <w:vAlign w:val="center"/>
          </w:tcPr>
          <w:p w14:paraId="0F0058FA">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w:t>
            </w:r>
            <w:r>
              <w:rPr>
                <w:rStyle w:val="15"/>
                <w:rFonts w:hint="eastAsia" w:ascii="宋体" w:hAnsi="宋体" w:cs="宋体"/>
                <w:b w:val="0"/>
                <w:bCs w:val="0"/>
                <w:color w:val="2F5597" w:themeColor="accent1" w:themeShade="BF"/>
                <w:kern w:val="0"/>
                <w:sz w:val="24"/>
                <w:szCs w:val="24"/>
                <w:shd w:val="clear" w:color="auto" w:fill="FFFFFF"/>
                <w:lang w:bidi="ar"/>
              </w:rPr>
              <w:t>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14:paraId="055558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410DF6E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14:paraId="3DC78679">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50-450mm</w:t>
            </w:r>
          </w:p>
        </w:tc>
      </w:tr>
      <w:tr w14:paraId="64A9F5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1E91B922">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14:paraId="4071A62F">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750*620*</w:t>
            </w:r>
            <w:r>
              <w:rPr>
                <w:rStyle w:val="15"/>
                <w:rFonts w:hint="eastAsia" w:ascii="宋体" w:hAnsi="宋体" w:cs="宋体"/>
                <w:b w:val="0"/>
                <w:bCs w:val="0"/>
                <w:color w:val="2F5597" w:themeColor="accent1" w:themeShade="BF"/>
                <w:kern w:val="0"/>
                <w:sz w:val="24"/>
                <w:szCs w:val="24"/>
                <w:shd w:val="clear" w:color="auto" w:fill="FFFFFF"/>
                <w:lang w:val="en-US" w:eastAsia="zh-CN" w:bidi="ar"/>
              </w:rPr>
              <w:t>95</w:t>
            </w:r>
            <w:r>
              <w:rPr>
                <w:rStyle w:val="15"/>
                <w:rFonts w:hint="eastAsia" w:ascii="宋体" w:hAnsi="宋体" w:cs="宋体"/>
                <w:b w:val="0"/>
                <w:bCs w:val="0"/>
                <w:color w:val="2F5597" w:themeColor="accent1" w:themeShade="BF"/>
                <w:kern w:val="0"/>
                <w:sz w:val="24"/>
                <w:szCs w:val="24"/>
                <w:shd w:val="clear" w:color="auto" w:fill="FFFFFF"/>
                <w:lang w:bidi="ar"/>
              </w:rPr>
              <w:t>0mm</w:t>
            </w:r>
          </w:p>
        </w:tc>
      </w:tr>
      <w:tr w14:paraId="49EB965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1D359DC3">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14:paraId="2C48E419">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770*640*980mm</w:t>
            </w:r>
          </w:p>
        </w:tc>
      </w:tr>
      <w:tr w14:paraId="40DB6EE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trPr>
        <w:tc>
          <w:tcPr>
            <w:tcW w:w="4261" w:type="dxa"/>
            <w:tcBorders>
              <w:tl2br w:val="nil"/>
              <w:tr2bl w:val="nil"/>
            </w:tcBorders>
            <w:vAlign w:val="center"/>
          </w:tcPr>
          <w:p w14:paraId="699998C4">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14:paraId="3D047C98">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120kg</w:t>
            </w:r>
          </w:p>
        </w:tc>
      </w:tr>
    </w:tbl>
    <w:p w14:paraId="48857736">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14C1E2CD">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14:paraId="4FC8568C">
      <w:pPr>
        <w:rPr>
          <w:rFonts w:ascii="宋体" w:hAnsi="宋体" w:cs="宋体"/>
          <w:color w:val="2F5597" w:themeColor="accent1" w:themeShade="BF"/>
          <w:sz w:val="24"/>
          <w:szCs w:val="24"/>
        </w:rPr>
      </w:pPr>
      <w:r>
        <w:rPr>
          <w:rFonts w:hint="eastAsia" w:ascii="宋体" w:hAnsi="宋体" w:cs="宋体"/>
          <w:b/>
          <w:bCs/>
          <w:color w:val="2F5597" w:themeColor="accent1" w:themeShade="BF"/>
          <w:sz w:val="24"/>
          <w:szCs w:val="24"/>
        </w:rPr>
        <w:t>长孔型定子头：</w:t>
      </w:r>
      <w:r>
        <w:rPr>
          <w:rFonts w:hint="eastAsia" w:ascii="宋体" w:hAnsi="宋体" w:cs="宋体"/>
          <w:color w:val="2F5597" w:themeColor="accent1" w:themeShade="BF"/>
          <w:sz w:val="24"/>
          <w:szCs w:val="24"/>
        </w:rPr>
        <w:t>适用中等固体颗粒的迅速粉碎及中等粘度液体的混合，长孔为表面剪切提供了最大面积和良好的循环。</w:t>
      </w:r>
    </w:p>
    <w:p w14:paraId="21501EB5">
      <w:pPr>
        <w:rPr>
          <w:rFonts w:ascii="宋体" w:hAnsi="宋体" w:cs="宋体"/>
          <w:color w:val="2F5597" w:themeColor="accent1" w:themeShade="BF"/>
          <w:sz w:val="24"/>
          <w:szCs w:val="24"/>
        </w:rPr>
      </w:pPr>
      <w:r>
        <w:rPr>
          <w:rFonts w:hint="eastAsia" w:ascii="宋体" w:hAnsi="宋体" w:cs="宋体"/>
          <w:b/>
          <w:bCs/>
          <w:color w:val="2F5597" w:themeColor="accent1" w:themeShade="BF"/>
          <w:sz w:val="24"/>
          <w:szCs w:val="24"/>
          <w:lang w:eastAsia="zh-CN"/>
        </w:rPr>
        <w:t>圆</w:t>
      </w:r>
      <w:r>
        <w:rPr>
          <w:rFonts w:hint="eastAsia" w:ascii="宋体" w:hAnsi="宋体" w:cs="宋体"/>
          <w:b/>
          <w:bCs/>
          <w:color w:val="2F5597" w:themeColor="accent1" w:themeShade="BF"/>
          <w:sz w:val="24"/>
          <w:szCs w:val="24"/>
        </w:rPr>
        <w:t>孔定子头：</w:t>
      </w:r>
      <w:r>
        <w:rPr>
          <w:rFonts w:hint="eastAsia" w:ascii="宋体" w:hAnsi="宋体" w:cs="宋体"/>
          <w:color w:val="2F5597" w:themeColor="accent1" w:themeShade="BF"/>
          <w:sz w:val="24"/>
          <w:szCs w:val="24"/>
        </w:rPr>
        <w:t>适用低粘度液体混合，其剪切速率最大，最适合于乳液的制备及小颗粒在液体中的粉碎、溶解过程。</w:t>
      </w:r>
    </w:p>
    <w:p w14:paraId="56584581">
      <w:pPr>
        <w:rPr>
          <w:rFonts w:ascii="宋体" w:hAnsi="宋体" w:cs="宋体"/>
          <w:color w:val="2F5597" w:themeColor="accent1" w:themeShade="BF"/>
          <w:sz w:val="24"/>
          <w:szCs w:val="24"/>
        </w:rPr>
      </w:pPr>
    </w:p>
    <w:p w14:paraId="6182F4E7">
      <w:pPr>
        <w:rPr>
          <w:rFonts w:hint="eastAsia" w:ascii="宋体" w:hAnsi="宋体" w:cs="宋体"/>
          <w:color w:val="2F5597" w:themeColor="accent1" w:themeShade="BF"/>
          <w:sz w:val="24"/>
          <w:szCs w:val="24"/>
        </w:rPr>
      </w:pPr>
    </w:p>
    <w:p w14:paraId="70A4711B">
      <w:pPr>
        <w:widowControl/>
        <w:shd w:val="clear" w:color="auto" w:fill="FFFFFF"/>
        <w:spacing w:line="360" w:lineRule="auto"/>
        <w:jc w:val="center"/>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cs="宋体"/>
          <w:color w:val="2F5597" w:themeColor="accent1" w:themeShade="BF"/>
          <w:kern w:val="0"/>
          <w:sz w:val="24"/>
          <w:szCs w:val="24"/>
          <w:shd w:val="clear" w:color="auto" w:fill="FFFFFF"/>
          <w:lang w:val="en-US" w:eastAsia="zh-CN" w:bidi="ar"/>
        </w:rPr>
        <w:drawing>
          <wp:inline distT="0" distB="0" distL="114300" distR="114300">
            <wp:extent cx="875665" cy="1167130"/>
            <wp:effectExtent l="0" t="0" r="635"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875665" cy="116713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cs="宋体"/>
          <w:color w:val="2F5597" w:themeColor="accent1" w:themeShade="BF"/>
          <w:kern w:val="0"/>
          <w:sz w:val="24"/>
          <w:szCs w:val="24"/>
          <w:shd w:val="clear" w:color="auto" w:fill="FFFFFF"/>
          <w:lang w:val="en-US" w:eastAsia="zh-CN" w:bidi="ar"/>
        </w:rPr>
        <w:drawing>
          <wp:inline distT="0" distB="0" distL="114300" distR="114300">
            <wp:extent cx="1094105" cy="1459230"/>
            <wp:effectExtent l="0" t="0" r="0" b="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8"/>
                    <a:stretch>
                      <a:fillRect/>
                    </a:stretch>
                  </pic:blipFill>
                  <pic:spPr>
                    <a:xfrm>
                      <a:off x="0" y="0"/>
                      <a:ext cx="1094105" cy="1459230"/>
                    </a:xfrm>
                    <a:prstGeom prst="rect">
                      <a:avLst/>
                    </a:prstGeom>
                  </pic:spPr>
                </pic:pic>
              </a:graphicData>
            </a:graphic>
          </wp:inline>
        </w:drawing>
      </w:r>
    </w:p>
    <w:p w14:paraId="74F01C67">
      <w:pPr>
        <w:widowControl/>
        <w:shd w:val="clear" w:color="auto" w:fill="FFFFFF"/>
        <w:spacing w:line="360" w:lineRule="auto"/>
        <w:jc w:val="center"/>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62BD">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047B056">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718E3238">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E9CE">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30A86D0">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37C75A9">
    <w:pPr>
      <w:jc w:val="center"/>
      <w:rPr>
        <w:sz w:val="24"/>
        <w:szCs w:val="24"/>
      </w:rPr>
    </w:pPr>
    <w:r>
      <w:rPr>
        <w:rFonts w:hint="eastAsia"/>
        <w:b/>
        <w:bCs/>
        <w:color w:val="203864" w:themeColor="accent1" w:themeShade="80"/>
        <w:kern w:val="0"/>
      </w:rPr>
      <w:t>Shanghai Huxi Industry Co., Ltd.,</w:t>
    </w:r>
  </w:p>
  <w:p w14:paraId="6F2995F7">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D05A6"/>
    <w:rsid w:val="000F0EE7"/>
    <w:rsid w:val="00157E89"/>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77FC2"/>
    <w:rsid w:val="003D498D"/>
    <w:rsid w:val="00427D6F"/>
    <w:rsid w:val="00434368"/>
    <w:rsid w:val="004773D6"/>
    <w:rsid w:val="00496B10"/>
    <w:rsid w:val="004A2EE0"/>
    <w:rsid w:val="004C123B"/>
    <w:rsid w:val="004E7E09"/>
    <w:rsid w:val="00533EE2"/>
    <w:rsid w:val="00535C95"/>
    <w:rsid w:val="0056688B"/>
    <w:rsid w:val="00580C1D"/>
    <w:rsid w:val="00592FED"/>
    <w:rsid w:val="00596893"/>
    <w:rsid w:val="005A5BBC"/>
    <w:rsid w:val="006665FA"/>
    <w:rsid w:val="006871DA"/>
    <w:rsid w:val="0069114D"/>
    <w:rsid w:val="00741072"/>
    <w:rsid w:val="007650E0"/>
    <w:rsid w:val="007A51F4"/>
    <w:rsid w:val="008052D3"/>
    <w:rsid w:val="00854961"/>
    <w:rsid w:val="008552A1"/>
    <w:rsid w:val="008B2ECB"/>
    <w:rsid w:val="00955DE4"/>
    <w:rsid w:val="0098299C"/>
    <w:rsid w:val="00990FAD"/>
    <w:rsid w:val="009E7CF6"/>
    <w:rsid w:val="00A4672B"/>
    <w:rsid w:val="00A94E0D"/>
    <w:rsid w:val="00AA4A1B"/>
    <w:rsid w:val="00AA5CBF"/>
    <w:rsid w:val="00AE399E"/>
    <w:rsid w:val="00AF7348"/>
    <w:rsid w:val="00B61697"/>
    <w:rsid w:val="00B839ED"/>
    <w:rsid w:val="00BC76BA"/>
    <w:rsid w:val="00BD42F1"/>
    <w:rsid w:val="00C33101"/>
    <w:rsid w:val="00C47428"/>
    <w:rsid w:val="00C83139"/>
    <w:rsid w:val="00CA0C72"/>
    <w:rsid w:val="00CA7F45"/>
    <w:rsid w:val="00CD1E6B"/>
    <w:rsid w:val="00D07C89"/>
    <w:rsid w:val="00D63CB2"/>
    <w:rsid w:val="00D8012E"/>
    <w:rsid w:val="00DA0404"/>
    <w:rsid w:val="00DA6A09"/>
    <w:rsid w:val="00E15CAB"/>
    <w:rsid w:val="00E2271A"/>
    <w:rsid w:val="00E54BE6"/>
    <w:rsid w:val="00E610B3"/>
    <w:rsid w:val="00E62DD8"/>
    <w:rsid w:val="00E900EE"/>
    <w:rsid w:val="00EC783E"/>
    <w:rsid w:val="00EE686A"/>
    <w:rsid w:val="00EF22FA"/>
    <w:rsid w:val="00EF49CC"/>
    <w:rsid w:val="00EF585C"/>
    <w:rsid w:val="00F8754C"/>
    <w:rsid w:val="00FA3922"/>
    <w:rsid w:val="00FE197F"/>
    <w:rsid w:val="017212D3"/>
    <w:rsid w:val="02AA71DB"/>
    <w:rsid w:val="02D933F4"/>
    <w:rsid w:val="02F87F3E"/>
    <w:rsid w:val="03F258F4"/>
    <w:rsid w:val="04E918A9"/>
    <w:rsid w:val="0692734F"/>
    <w:rsid w:val="07553E41"/>
    <w:rsid w:val="091F1204"/>
    <w:rsid w:val="0A184A29"/>
    <w:rsid w:val="0A366F57"/>
    <w:rsid w:val="0A965B96"/>
    <w:rsid w:val="0C5D72F0"/>
    <w:rsid w:val="10C02CE0"/>
    <w:rsid w:val="10E60B82"/>
    <w:rsid w:val="11385EB2"/>
    <w:rsid w:val="117D1E52"/>
    <w:rsid w:val="11B80688"/>
    <w:rsid w:val="12F323D9"/>
    <w:rsid w:val="13377D20"/>
    <w:rsid w:val="162626F1"/>
    <w:rsid w:val="163338FF"/>
    <w:rsid w:val="167836D1"/>
    <w:rsid w:val="16855545"/>
    <w:rsid w:val="16A71820"/>
    <w:rsid w:val="18711AC3"/>
    <w:rsid w:val="1886336C"/>
    <w:rsid w:val="1976192B"/>
    <w:rsid w:val="1A0761A2"/>
    <w:rsid w:val="1A4C7833"/>
    <w:rsid w:val="1A8C2F04"/>
    <w:rsid w:val="1AB80B3F"/>
    <w:rsid w:val="1B871C86"/>
    <w:rsid w:val="1C4A28F1"/>
    <w:rsid w:val="1C8D4EFF"/>
    <w:rsid w:val="1CF1435F"/>
    <w:rsid w:val="1DE275D5"/>
    <w:rsid w:val="1E486378"/>
    <w:rsid w:val="1F995798"/>
    <w:rsid w:val="2159429D"/>
    <w:rsid w:val="216A23E2"/>
    <w:rsid w:val="21C226FE"/>
    <w:rsid w:val="22E601DB"/>
    <w:rsid w:val="23243285"/>
    <w:rsid w:val="241D3C4F"/>
    <w:rsid w:val="246A0583"/>
    <w:rsid w:val="24AE6CFC"/>
    <w:rsid w:val="24F17DA3"/>
    <w:rsid w:val="263D01F5"/>
    <w:rsid w:val="295A600F"/>
    <w:rsid w:val="2A602115"/>
    <w:rsid w:val="2A847618"/>
    <w:rsid w:val="2AC31D90"/>
    <w:rsid w:val="2BE36FED"/>
    <w:rsid w:val="2C09043C"/>
    <w:rsid w:val="2C2B4AD0"/>
    <w:rsid w:val="2C936415"/>
    <w:rsid w:val="2CA80E95"/>
    <w:rsid w:val="2CBC35B2"/>
    <w:rsid w:val="2CEC6801"/>
    <w:rsid w:val="2D270418"/>
    <w:rsid w:val="2D4B6E23"/>
    <w:rsid w:val="2D9E504D"/>
    <w:rsid w:val="2DBB4423"/>
    <w:rsid w:val="2DD5620E"/>
    <w:rsid w:val="2E387EF1"/>
    <w:rsid w:val="2E5E5B1C"/>
    <w:rsid w:val="2FBC2BE2"/>
    <w:rsid w:val="305E74A3"/>
    <w:rsid w:val="30667F5E"/>
    <w:rsid w:val="32494755"/>
    <w:rsid w:val="34121BAC"/>
    <w:rsid w:val="348346E6"/>
    <w:rsid w:val="348E7F12"/>
    <w:rsid w:val="354872DA"/>
    <w:rsid w:val="35B92EB0"/>
    <w:rsid w:val="36585CBC"/>
    <w:rsid w:val="36E10A24"/>
    <w:rsid w:val="37C640A1"/>
    <w:rsid w:val="38551E4C"/>
    <w:rsid w:val="3A045A6B"/>
    <w:rsid w:val="3A542ACC"/>
    <w:rsid w:val="3ABF1760"/>
    <w:rsid w:val="3C5E63A4"/>
    <w:rsid w:val="3DA6127B"/>
    <w:rsid w:val="3DEB6E30"/>
    <w:rsid w:val="3E2B5E06"/>
    <w:rsid w:val="3EEA247C"/>
    <w:rsid w:val="3FA40DDA"/>
    <w:rsid w:val="40764144"/>
    <w:rsid w:val="410B44C7"/>
    <w:rsid w:val="42254882"/>
    <w:rsid w:val="42EE4F82"/>
    <w:rsid w:val="43B46D68"/>
    <w:rsid w:val="43EA5F2F"/>
    <w:rsid w:val="442711AA"/>
    <w:rsid w:val="45E369C8"/>
    <w:rsid w:val="46B74A6E"/>
    <w:rsid w:val="498B526A"/>
    <w:rsid w:val="4A527F2C"/>
    <w:rsid w:val="4A6E6488"/>
    <w:rsid w:val="4AA4627F"/>
    <w:rsid w:val="4ADC76DB"/>
    <w:rsid w:val="4CA81950"/>
    <w:rsid w:val="4D4E77F2"/>
    <w:rsid w:val="4E931B10"/>
    <w:rsid w:val="4FD73045"/>
    <w:rsid w:val="51C771E3"/>
    <w:rsid w:val="51F9487C"/>
    <w:rsid w:val="52EE746C"/>
    <w:rsid w:val="53703524"/>
    <w:rsid w:val="53853F87"/>
    <w:rsid w:val="54337CF6"/>
    <w:rsid w:val="5452446D"/>
    <w:rsid w:val="54D77948"/>
    <w:rsid w:val="555609AC"/>
    <w:rsid w:val="562E6A1D"/>
    <w:rsid w:val="563C7D3B"/>
    <w:rsid w:val="567A4548"/>
    <w:rsid w:val="576F688D"/>
    <w:rsid w:val="5826783E"/>
    <w:rsid w:val="58926505"/>
    <w:rsid w:val="58C6092D"/>
    <w:rsid w:val="58F34817"/>
    <w:rsid w:val="591C6583"/>
    <w:rsid w:val="594D1214"/>
    <w:rsid w:val="59AB3574"/>
    <w:rsid w:val="5BDA755D"/>
    <w:rsid w:val="5CFF0814"/>
    <w:rsid w:val="5DDC6E97"/>
    <w:rsid w:val="5FEC630B"/>
    <w:rsid w:val="60073B42"/>
    <w:rsid w:val="602A23E5"/>
    <w:rsid w:val="607225C9"/>
    <w:rsid w:val="608B6872"/>
    <w:rsid w:val="61FA2450"/>
    <w:rsid w:val="624F31B6"/>
    <w:rsid w:val="626F460D"/>
    <w:rsid w:val="62737F03"/>
    <w:rsid w:val="62BD7680"/>
    <w:rsid w:val="63A72048"/>
    <w:rsid w:val="63B80222"/>
    <w:rsid w:val="64BB3B0A"/>
    <w:rsid w:val="65173864"/>
    <w:rsid w:val="665411C2"/>
    <w:rsid w:val="66606B78"/>
    <w:rsid w:val="668237CF"/>
    <w:rsid w:val="669658E2"/>
    <w:rsid w:val="67074C35"/>
    <w:rsid w:val="67B86FD5"/>
    <w:rsid w:val="68CC736B"/>
    <w:rsid w:val="698207D7"/>
    <w:rsid w:val="69A05A18"/>
    <w:rsid w:val="6AB4227F"/>
    <w:rsid w:val="6B3B6611"/>
    <w:rsid w:val="6B5251F4"/>
    <w:rsid w:val="6B6C7258"/>
    <w:rsid w:val="6BA7011A"/>
    <w:rsid w:val="6DFB560B"/>
    <w:rsid w:val="6F17421F"/>
    <w:rsid w:val="6F7B3153"/>
    <w:rsid w:val="6F975B11"/>
    <w:rsid w:val="6FEF189F"/>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391383"/>
    <w:rsid w:val="7E66793A"/>
    <w:rsid w:val="7EB3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B7875-AE45-423E-9D7B-49293629A37E}">
  <ds:schemaRefs/>
</ds:datastoreItem>
</file>

<file path=docProps/app.xml><?xml version="1.0" encoding="utf-8"?>
<Properties xmlns="http://schemas.openxmlformats.org/officeDocument/2006/extended-properties" xmlns:vt="http://schemas.openxmlformats.org/officeDocument/2006/docPropsVTypes">
  <Template>Normal</Template>
  <Pages>4</Pages>
  <Words>977</Words>
  <Characters>1089</Characters>
  <Lines>8</Lines>
  <Paragraphs>2</Paragraphs>
  <TotalTime>2</TotalTime>
  <ScaleCrop>false</ScaleCrop>
  <LinksUpToDate>false</LinksUpToDate>
  <CharactersWithSpaces>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2020-12-31T06:05:00Z</dcterms:created>
  <dc:creator>孙长娟</dc:creator>
  <cp:lastModifiedBy>五七</cp:lastModifiedBy>
  <dcterms:modified xsi:type="dcterms:W3CDTF">2025-03-17T06:27:11Z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linkTarget="0">
    <vt:lpwstr>6</vt:lpwstr>
  </property>
  <property fmtid="{D5CDD505-2E9C-101B-9397-08002B2CF9AE}" pid="4" name="ICV">
    <vt:lpwstr>8D58236384D940F7A3821AB223D29838</vt:lpwstr>
  </property>
  <property fmtid="{D5CDD505-2E9C-101B-9397-08002B2CF9AE}" pid="5" name="KSOTemplateDocerSaveRecord">
    <vt:lpwstr>eyJoZGlkIjoiZThlYzdmZDU4NDA1NmI5ODM1ZDk5MTc4M2VjMzgyYjMiLCJ1c2VySWQiOiI0MzIzNDk0NzMifQ==</vt:lpwstr>
  </property>
</Properties>
</file>